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2547" w14:textId="71CB18A9" w:rsidR="00807C6A" w:rsidRPr="00EC2161" w:rsidRDefault="00161EC9" w:rsidP="00807C6A">
      <w:pPr>
        <w:pStyle w:val="Frontpageheader1"/>
        <w:rPr>
          <w:rFonts w:ascii="Verdana" w:hAnsi="Verdana"/>
          <w:b/>
          <w:color w:val="auto"/>
          <w:sz w:val="52"/>
          <w:szCs w:val="32"/>
          <w:lang w:val="en-GB" w:bidi="ar-SA"/>
        </w:rPr>
      </w:pPr>
      <w:bookmarkStart w:id="0" w:name="_Toc93664316"/>
      <w:bookmarkStart w:id="1" w:name="_Toc93664896"/>
      <w:r>
        <w:rPr>
          <w:rFonts w:ascii="Verdana" w:hAnsi="Verdana"/>
          <w:b/>
          <w:color w:val="auto"/>
          <w:sz w:val="52"/>
          <w:szCs w:val="32"/>
          <w:lang w:val="en-GB" w:bidi="ar-SA"/>
        </w:rPr>
        <w:t>Galderma (UK) Limited Section of the Deloitte Pensions Master Plan</w:t>
      </w:r>
      <w:bookmarkEnd w:id="0"/>
      <w:bookmarkEnd w:id="1"/>
      <w:r>
        <w:rPr>
          <w:rFonts w:ascii="Verdana" w:hAnsi="Verdana"/>
          <w:b/>
          <w:color w:val="auto"/>
          <w:sz w:val="52"/>
          <w:szCs w:val="32"/>
          <w:lang w:val="en-GB" w:bidi="ar-SA"/>
        </w:rPr>
        <w:t xml:space="preserve"> </w:t>
      </w:r>
    </w:p>
    <w:p w14:paraId="3BDF218D" w14:textId="42A534C6" w:rsidR="00807C6A" w:rsidRDefault="00807C6A" w:rsidP="00807C6A">
      <w:pPr>
        <w:spacing w:after="200" w:line="276" w:lineRule="auto"/>
        <w:rPr>
          <w:rFonts w:ascii="Verdana" w:eastAsiaTheme="majorEastAsia" w:hAnsi="Verdana" w:cs="Segoe UI Semibold"/>
          <w:bCs/>
          <w:iCs/>
          <w:color w:val="62B5E5"/>
          <w:sz w:val="36"/>
          <w:szCs w:val="28"/>
        </w:rPr>
      </w:pPr>
      <w:r w:rsidRPr="00EC2161">
        <w:rPr>
          <w:rFonts w:ascii="Verdana" w:eastAsiaTheme="majorEastAsia" w:hAnsi="Verdana" w:cs="Segoe UI Semibold"/>
          <w:bCs/>
          <w:iCs/>
          <w:color w:val="62B5E5"/>
          <w:sz w:val="36"/>
          <w:szCs w:val="28"/>
        </w:rPr>
        <w:t>Statement of Investment Principles</w:t>
      </w:r>
    </w:p>
    <w:p w14:paraId="5DEE469C" w14:textId="77777777" w:rsidR="00807C6A" w:rsidRDefault="00807C6A">
      <w:pPr>
        <w:rPr>
          <w:rFonts w:ascii="Verdana" w:eastAsia="Times New Roman" w:hAnsi="Verdana" w:cs="Arial"/>
          <w:b/>
          <w:sz w:val="22"/>
          <w:szCs w:val="22"/>
          <w:u w:val="single"/>
          <w:lang w:val="en-US"/>
        </w:rPr>
      </w:pPr>
      <w:r>
        <w:rPr>
          <w:rFonts w:ascii="Verdana" w:eastAsia="Times New Roman" w:hAnsi="Verdana" w:cs="Arial"/>
          <w:b/>
          <w:sz w:val="22"/>
          <w:szCs w:val="22"/>
          <w:u w:val="single"/>
          <w:lang w:val="en-US"/>
        </w:rPr>
        <w:br w:type="page"/>
      </w:r>
    </w:p>
    <w:sdt>
      <w:sdtPr>
        <w:rPr>
          <w:rFonts w:ascii="Times New Roman" w:hAnsi="Times New Roman"/>
          <w:noProof w:val="0"/>
          <w:lang w:val="en-GB"/>
        </w:rPr>
        <w:id w:val="1367175207"/>
        <w:docPartObj>
          <w:docPartGallery w:val="Table of Contents"/>
          <w:docPartUnique/>
        </w:docPartObj>
      </w:sdtPr>
      <w:sdtEndPr>
        <w:rPr>
          <w:b/>
          <w:bCs/>
        </w:rPr>
      </w:sdtEndPr>
      <w:sdtContent>
        <w:p w14:paraId="714F6187" w14:textId="77777777" w:rsidR="000F733A" w:rsidRDefault="00807C6A" w:rsidP="008C4292">
          <w:pPr>
            <w:pStyle w:val="TOC1"/>
          </w:pPr>
          <w:r w:rsidRPr="00EC2161">
            <w:t>Contents</w:t>
          </w:r>
        </w:p>
        <w:p w14:paraId="75395729" w14:textId="7CD7667B" w:rsidR="005978F4" w:rsidRDefault="00807C6A">
          <w:pPr>
            <w:pStyle w:val="TOC1"/>
            <w:rPr>
              <w:rFonts w:asciiTheme="minorHAnsi" w:hAnsiTheme="minorHAnsi" w:cstheme="minorBidi"/>
              <w:sz w:val="22"/>
              <w:szCs w:val="22"/>
              <w:lang w:val="en-GB"/>
            </w:rPr>
          </w:pPr>
          <w:r>
            <w:rPr>
              <w:rFonts w:eastAsiaTheme="majorEastAsia" w:cstheme="majorBidi"/>
              <w:noProof w:val="0"/>
              <w:color w:val="638C1B" w:themeColor="accent1" w:themeShade="BF"/>
              <w:sz w:val="32"/>
              <w:szCs w:val="32"/>
              <w:lang w:eastAsia="en-US"/>
            </w:rPr>
            <w:fldChar w:fldCharType="begin"/>
          </w:r>
          <w:r>
            <w:instrText xml:space="preserve"> TOC \o "1-3" \h \z \u </w:instrText>
          </w:r>
          <w:r>
            <w:rPr>
              <w:rFonts w:eastAsiaTheme="majorEastAsia" w:cstheme="majorBidi"/>
              <w:noProof w:val="0"/>
              <w:color w:val="638C1B" w:themeColor="accent1" w:themeShade="BF"/>
              <w:sz w:val="32"/>
              <w:szCs w:val="32"/>
              <w:lang w:eastAsia="en-US"/>
            </w:rPr>
            <w:fldChar w:fldCharType="separate"/>
          </w:r>
          <w:hyperlink w:anchor="_Toc93664896" w:history="1">
            <w:r w:rsidR="005978F4" w:rsidRPr="003B69D2">
              <w:rPr>
                <w:rStyle w:val="Hyperlink"/>
                <w:rFonts w:ascii="Verdana" w:hAnsi="Verdana"/>
                <w:b/>
                <w:lang w:val="en-GB"/>
              </w:rPr>
              <w:t>Galderma (UK) Limited Section of the Deloitte Pensions Master Plan</w:t>
            </w:r>
            <w:r w:rsidR="005978F4">
              <w:rPr>
                <w:webHidden/>
              </w:rPr>
              <w:tab/>
            </w:r>
          </w:hyperlink>
        </w:p>
        <w:p w14:paraId="33D1BFB9" w14:textId="22F41D70" w:rsidR="005978F4" w:rsidRDefault="001A7DD0">
          <w:pPr>
            <w:pStyle w:val="TOC1"/>
            <w:rPr>
              <w:rFonts w:asciiTheme="minorHAnsi" w:hAnsiTheme="minorHAnsi" w:cstheme="minorBidi"/>
              <w:sz w:val="22"/>
              <w:szCs w:val="22"/>
              <w:lang w:val="en-GB"/>
            </w:rPr>
          </w:pPr>
          <w:hyperlink w:anchor="_Toc93664897" w:history="1">
            <w:r w:rsidR="005978F4" w:rsidRPr="003B69D2">
              <w:rPr>
                <w:rStyle w:val="Hyperlink"/>
                <w:b/>
              </w:rPr>
              <w:t>1.</w:t>
            </w:r>
            <w:r w:rsidR="005978F4">
              <w:rPr>
                <w:rFonts w:asciiTheme="minorHAnsi" w:hAnsiTheme="minorHAnsi" w:cstheme="minorBidi"/>
                <w:sz w:val="22"/>
                <w:szCs w:val="22"/>
                <w:lang w:val="en-GB"/>
              </w:rPr>
              <w:tab/>
            </w:r>
            <w:r w:rsidR="005978F4" w:rsidRPr="003B69D2">
              <w:rPr>
                <w:rStyle w:val="Hyperlink"/>
                <w:b/>
              </w:rPr>
              <w:t>Introduction</w:t>
            </w:r>
            <w:r w:rsidR="005978F4">
              <w:rPr>
                <w:webHidden/>
              </w:rPr>
              <w:tab/>
            </w:r>
            <w:r w:rsidR="005978F4">
              <w:rPr>
                <w:webHidden/>
              </w:rPr>
              <w:fldChar w:fldCharType="begin"/>
            </w:r>
            <w:r w:rsidR="005978F4">
              <w:rPr>
                <w:webHidden/>
              </w:rPr>
              <w:instrText xml:space="preserve"> PAGEREF _Toc93664897 \h </w:instrText>
            </w:r>
            <w:r w:rsidR="005978F4">
              <w:rPr>
                <w:webHidden/>
              </w:rPr>
            </w:r>
            <w:r w:rsidR="005978F4">
              <w:rPr>
                <w:webHidden/>
              </w:rPr>
              <w:fldChar w:fldCharType="separate"/>
            </w:r>
            <w:r w:rsidR="005978F4">
              <w:rPr>
                <w:webHidden/>
              </w:rPr>
              <w:t>3</w:t>
            </w:r>
            <w:r w:rsidR="005978F4">
              <w:rPr>
                <w:webHidden/>
              </w:rPr>
              <w:fldChar w:fldCharType="end"/>
            </w:r>
          </w:hyperlink>
        </w:p>
        <w:p w14:paraId="10B4F18E" w14:textId="60C23737" w:rsidR="005978F4" w:rsidRDefault="001A7DD0">
          <w:pPr>
            <w:pStyle w:val="TOC1"/>
            <w:rPr>
              <w:rFonts w:asciiTheme="minorHAnsi" w:hAnsiTheme="minorHAnsi" w:cstheme="minorBidi"/>
              <w:sz w:val="22"/>
              <w:szCs w:val="22"/>
              <w:lang w:val="en-GB"/>
            </w:rPr>
          </w:pPr>
          <w:hyperlink w:anchor="_Toc93664898" w:history="1">
            <w:r w:rsidR="005978F4" w:rsidRPr="003B69D2">
              <w:rPr>
                <w:rStyle w:val="Hyperlink"/>
                <w:b/>
              </w:rPr>
              <w:t>2.</w:t>
            </w:r>
            <w:r w:rsidR="005978F4">
              <w:rPr>
                <w:rFonts w:asciiTheme="minorHAnsi" w:hAnsiTheme="minorHAnsi" w:cstheme="minorBidi"/>
                <w:sz w:val="22"/>
                <w:szCs w:val="22"/>
                <w:lang w:val="en-GB"/>
              </w:rPr>
              <w:tab/>
            </w:r>
            <w:r w:rsidR="005978F4" w:rsidRPr="003B69D2">
              <w:rPr>
                <w:rStyle w:val="Hyperlink"/>
                <w:b/>
              </w:rPr>
              <w:t>Investment Objectives</w:t>
            </w:r>
            <w:r w:rsidR="005978F4">
              <w:rPr>
                <w:webHidden/>
              </w:rPr>
              <w:tab/>
            </w:r>
            <w:r w:rsidR="005978F4">
              <w:rPr>
                <w:webHidden/>
              </w:rPr>
              <w:fldChar w:fldCharType="begin"/>
            </w:r>
            <w:r w:rsidR="005978F4">
              <w:rPr>
                <w:webHidden/>
              </w:rPr>
              <w:instrText xml:space="preserve"> PAGEREF _Toc93664898 \h </w:instrText>
            </w:r>
            <w:r w:rsidR="005978F4">
              <w:rPr>
                <w:webHidden/>
              </w:rPr>
            </w:r>
            <w:r w:rsidR="005978F4">
              <w:rPr>
                <w:webHidden/>
              </w:rPr>
              <w:fldChar w:fldCharType="separate"/>
            </w:r>
            <w:r w:rsidR="005978F4">
              <w:rPr>
                <w:webHidden/>
              </w:rPr>
              <w:t>3</w:t>
            </w:r>
            <w:r w:rsidR="005978F4">
              <w:rPr>
                <w:webHidden/>
              </w:rPr>
              <w:fldChar w:fldCharType="end"/>
            </w:r>
          </w:hyperlink>
        </w:p>
        <w:p w14:paraId="08A383CB" w14:textId="174D0EB7" w:rsidR="005978F4" w:rsidRDefault="001A7DD0">
          <w:pPr>
            <w:pStyle w:val="TOC1"/>
            <w:rPr>
              <w:rFonts w:asciiTheme="minorHAnsi" w:hAnsiTheme="minorHAnsi" w:cstheme="minorBidi"/>
              <w:sz w:val="22"/>
              <w:szCs w:val="22"/>
              <w:lang w:val="en-GB"/>
            </w:rPr>
          </w:pPr>
          <w:hyperlink w:anchor="_Toc93664899" w:history="1">
            <w:r w:rsidR="005978F4" w:rsidRPr="003B69D2">
              <w:rPr>
                <w:rStyle w:val="Hyperlink"/>
                <w:b/>
              </w:rPr>
              <w:t>3.</w:t>
            </w:r>
            <w:r w:rsidR="005978F4">
              <w:rPr>
                <w:rFonts w:asciiTheme="minorHAnsi" w:hAnsiTheme="minorHAnsi" w:cstheme="minorBidi"/>
                <w:sz w:val="22"/>
                <w:szCs w:val="22"/>
                <w:lang w:val="en-GB"/>
              </w:rPr>
              <w:tab/>
            </w:r>
            <w:r w:rsidR="005978F4" w:rsidRPr="003B69D2">
              <w:rPr>
                <w:rStyle w:val="Hyperlink"/>
                <w:b/>
              </w:rPr>
              <w:t>Choosing Investments</w:t>
            </w:r>
            <w:r w:rsidR="005978F4">
              <w:rPr>
                <w:webHidden/>
              </w:rPr>
              <w:tab/>
            </w:r>
            <w:r w:rsidR="005978F4">
              <w:rPr>
                <w:webHidden/>
              </w:rPr>
              <w:fldChar w:fldCharType="begin"/>
            </w:r>
            <w:r w:rsidR="005978F4">
              <w:rPr>
                <w:webHidden/>
              </w:rPr>
              <w:instrText xml:space="preserve"> PAGEREF _Toc93664899 \h </w:instrText>
            </w:r>
            <w:r w:rsidR="005978F4">
              <w:rPr>
                <w:webHidden/>
              </w:rPr>
            </w:r>
            <w:r w:rsidR="005978F4">
              <w:rPr>
                <w:webHidden/>
              </w:rPr>
              <w:fldChar w:fldCharType="separate"/>
            </w:r>
            <w:r w:rsidR="005978F4">
              <w:rPr>
                <w:webHidden/>
              </w:rPr>
              <w:t>4</w:t>
            </w:r>
            <w:r w:rsidR="005978F4">
              <w:rPr>
                <w:webHidden/>
              </w:rPr>
              <w:fldChar w:fldCharType="end"/>
            </w:r>
          </w:hyperlink>
        </w:p>
        <w:p w14:paraId="0403C6DC" w14:textId="0FC58CA5" w:rsidR="005978F4" w:rsidRDefault="001A7DD0">
          <w:pPr>
            <w:pStyle w:val="TOC1"/>
            <w:rPr>
              <w:rFonts w:asciiTheme="minorHAnsi" w:hAnsiTheme="minorHAnsi" w:cstheme="minorBidi"/>
              <w:sz w:val="22"/>
              <w:szCs w:val="22"/>
              <w:lang w:val="en-GB"/>
            </w:rPr>
          </w:pPr>
          <w:hyperlink w:anchor="_Toc93664900" w:history="1">
            <w:r w:rsidR="005978F4" w:rsidRPr="003B69D2">
              <w:rPr>
                <w:rStyle w:val="Hyperlink"/>
                <w:b/>
              </w:rPr>
              <w:t>4.</w:t>
            </w:r>
            <w:r w:rsidR="005978F4">
              <w:rPr>
                <w:rFonts w:asciiTheme="minorHAnsi" w:hAnsiTheme="minorHAnsi" w:cstheme="minorBidi"/>
                <w:sz w:val="22"/>
                <w:szCs w:val="22"/>
                <w:lang w:val="en-GB"/>
              </w:rPr>
              <w:tab/>
            </w:r>
            <w:r w:rsidR="005978F4" w:rsidRPr="003B69D2">
              <w:rPr>
                <w:rStyle w:val="Hyperlink"/>
                <w:b/>
              </w:rPr>
              <w:t>Investment Strategy</w:t>
            </w:r>
            <w:r w:rsidR="005978F4">
              <w:rPr>
                <w:webHidden/>
              </w:rPr>
              <w:tab/>
            </w:r>
            <w:r w:rsidR="005978F4">
              <w:rPr>
                <w:webHidden/>
              </w:rPr>
              <w:fldChar w:fldCharType="begin"/>
            </w:r>
            <w:r w:rsidR="005978F4">
              <w:rPr>
                <w:webHidden/>
              </w:rPr>
              <w:instrText xml:space="preserve"> PAGEREF _Toc93664900 \h </w:instrText>
            </w:r>
            <w:r w:rsidR="005978F4">
              <w:rPr>
                <w:webHidden/>
              </w:rPr>
            </w:r>
            <w:r w:rsidR="005978F4">
              <w:rPr>
                <w:webHidden/>
              </w:rPr>
              <w:fldChar w:fldCharType="separate"/>
            </w:r>
            <w:r w:rsidR="005978F4">
              <w:rPr>
                <w:webHidden/>
              </w:rPr>
              <w:t>4</w:t>
            </w:r>
            <w:r w:rsidR="005978F4">
              <w:rPr>
                <w:webHidden/>
              </w:rPr>
              <w:fldChar w:fldCharType="end"/>
            </w:r>
          </w:hyperlink>
        </w:p>
        <w:p w14:paraId="1FF09DAC" w14:textId="168F3D16" w:rsidR="005978F4" w:rsidRDefault="001A7DD0">
          <w:pPr>
            <w:pStyle w:val="TOC1"/>
            <w:rPr>
              <w:rFonts w:asciiTheme="minorHAnsi" w:hAnsiTheme="minorHAnsi" w:cstheme="minorBidi"/>
              <w:sz w:val="22"/>
              <w:szCs w:val="22"/>
              <w:lang w:val="en-GB"/>
            </w:rPr>
          </w:pPr>
          <w:hyperlink w:anchor="_Toc93664901" w:history="1">
            <w:r w:rsidR="005978F4" w:rsidRPr="003B69D2">
              <w:rPr>
                <w:rStyle w:val="Hyperlink"/>
                <w:b/>
              </w:rPr>
              <w:t>5.</w:t>
            </w:r>
            <w:r w:rsidR="005978F4">
              <w:rPr>
                <w:rFonts w:asciiTheme="minorHAnsi" w:hAnsiTheme="minorHAnsi" w:cstheme="minorBidi"/>
                <w:sz w:val="22"/>
                <w:szCs w:val="22"/>
                <w:lang w:val="en-GB"/>
              </w:rPr>
              <w:tab/>
            </w:r>
            <w:r w:rsidR="005978F4" w:rsidRPr="003B69D2">
              <w:rPr>
                <w:rStyle w:val="Hyperlink"/>
                <w:b/>
              </w:rPr>
              <w:t>Expected Return</w:t>
            </w:r>
            <w:r w:rsidR="005978F4">
              <w:rPr>
                <w:webHidden/>
              </w:rPr>
              <w:tab/>
            </w:r>
            <w:r w:rsidR="005978F4">
              <w:rPr>
                <w:webHidden/>
              </w:rPr>
              <w:fldChar w:fldCharType="begin"/>
            </w:r>
            <w:r w:rsidR="005978F4">
              <w:rPr>
                <w:webHidden/>
              </w:rPr>
              <w:instrText xml:space="preserve"> PAGEREF _Toc93664901 \h </w:instrText>
            </w:r>
            <w:r w:rsidR="005978F4">
              <w:rPr>
                <w:webHidden/>
              </w:rPr>
            </w:r>
            <w:r w:rsidR="005978F4">
              <w:rPr>
                <w:webHidden/>
              </w:rPr>
              <w:fldChar w:fldCharType="separate"/>
            </w:r>
            <w:r w:rsidR="005978F4">
              <w:rPr>
                <w:webHidden/>
              </w:rPr>
              <w:t>5</w:t>
            </w:r>
            <w:r w:rsidR="005978F4">
              <w:rPr>
                <w:webHidden/>
              </w:rPr>
              <w:fldChar w:fldCharType="end"/>
            </w:r>
          </w:hyperlink>
        </w:p>
        <w:p w14:paraId="6CDD885A" w14:textId="4CBDB1DB" w:rsidR="005978F4" w:rsidRDefault="001A7DD0">
          <w:pPr>
            <w:pStyle w:val="TOC1"/>
            <w:rPr>
              <w:rFonts w:asciiTheme="minorHAnsi" w:hAnsiTheme="minorHAnsi" w:cstheme="minorBidi"/>
              <w:sz w:val="22"/>
              <w:szCs w:val="22"/>
              <w:lang w:val="en-GB"/>
            </w:rPr>
          </w:pPr>
          <w:hyperlink w:anchor="_Toc93664902" w:history="1">
            <w:r w:rsidR="005978F4" w:rsidRPr="003B69D2">
              <w:rPr>
                <w:rStyle w:val="Hyperlink"/>
                <w:b/>
              </w:rPr>
              <w:t>6.</w:t>
            </w:r>
            <w:r w:rsidR="005978F4">
              <w:rPr>
                <w:rFonts w:asciiTheme="minorHAnsi" w:hAnsiTheme="minorHAnsi" w:cstheme="minorBidi"/>
                <w:sz w:val="22"/>
                <w:szCs w:val="22"/>
                <w:lang w:val="en-GB"/>
              </w:rPr>
              <w:tab/>
            </w:r>
            <w:r w:rsidR="005978F4" w:rsidRPr="003B69D2">
              <w:rPr>
                <w:rStyle w:val="Hyperlink"/>
                <w:b/>
              </w:rPr>
              <w:t>Monitoring Investments</w:t>
            </w:r>
            <w:r w:rsidR="005978F4">
              <w:rPr>
                <w:webHidden/>
              </w:rPr>
              <w:tab/>
            </w:r>
            <w:r w:rsidR="005978F4">
              <w:rPr>
                <w:webHidden/>
              </w:rPr>
              <w:fldChar w:fldCharType="begin"/>
            </w:r>
            <w:r w:rsidR="005978F4">
              <w:rPr>
                <w:webHidden/>
              </w:rPr>
              <w:instrText xml:space="preserve"> PAGEREF _Toc93664902 \h </w:instrText>
            </w:r>
            <w:r w:rsidR="005978F4">
              <w:rPr>
                <w:webHidden/>
              </w:rPr>
            </w:r>
            <w:r w:rsidR="005978F4">
              <w:rPr>
                <w:webHidden/>
              </w:rPr>
              <w:fldChar w:fldCharType="separate"/>
            </w:r>
            <w:r w:rsidR="005978F4">
              <w:rPr>
                <w:webHidden/>
              </w:rPr>
              <w:t>6</w:t>
            </w:r>
            <w:r w:rsidR="005978F4">
              <w:rPr>
                <w:webHidden/>
              </w:rPr>
              <w:fldChar w:fldCharType="end"/>
            </w:r>
          </w:hyperlink>
        </w:p>
        <w:p w14:paraId="09C4DFBB" w14:textId="1AA03CE5" w:rsidR="005978F4" w:rsidRDefault="001A7DD0">
          <w:pPr>
            <w:pStyle w:val="TOC1"/>
            <w:rPr>
              <w:rFonts w:asciiTheme="minorHAnsi" w:hAnsiTheme="minorHAnsi" w:cstheme="minorBidi"/>
              <w:sz w:val="22"/>
              <w:szCs w:val="22"/>
              <w:lang w:val="en-GB"/>
            </w:rPr>
          </w:pPr>
          <w:hyperlink w:anchor="_Toc93664903" w:history="1">
            <w:r w:rsidR="005978F4" w:rsidRPr="003B69D2">
              <w:rPr>
                <w:rStyle w:val="Hyperlink"/>
                <w:b/>
              </w:rPr>
              <w:t>7.</w:t>
            </w:r>
            <w:r w:rsidR="005978F4">
              <w:rPr>
                <w:rFonts w:asciiTheme="minorHAnsi" w:hAnsiTheme="minorHAnsi" w:cstheme="minorBidi"/>
                <w:sz w:val="22"/>
                <w:szCs w:val="22"/>
                <w:lang w:val="en-GB"/>
              </w:rPr>
              <w:tab/>
            </w:r>
            <w:r w:rsidR="005978F4" w:rsidRPr="003B69D2">
              <w:rPr>
                <w:rStyle w:val="Hyperlink"/>
                <w:b/>
              </w:rPr>
              <w:t>Realisation of Investments</w:t>
            </w:r>
            <w:r w:rsidR="005978F4">
              <w:rPr>
                <w:webHidden/>
              </w:rPr>
              <w:tab/>
            </w:r>
            <w:r w:rsidR="005978F4">
              <w:rPr>
                <w:webHidden/>
              </w:rPr>
              <w:fldChar w:fldCharType="begin"/>
            </w:r>
            <w:r w:rsidR="005978F4">
              <w:rPr>
                <w:webHidden/>
              </w:rPr>
              <w:instrText xml:space="preserve"> PAGEREF _Toc93664903 \h </w:instrText>
            </w:r>
            <w:r w:rsidR="005978F4">
              <w:rPr>
                <w:webHidden/>
              </w:rPr>
            </w:r>
            <w:r w:rsidR="005978F4">
              <w:rPr>
                <w:webHidden/>
              </w:rPr>
              <w:fldChar w:fldCharType="separate"/>
            </w:r>
            <w:r w:rsidR="005978F4">
              <w:rPr>
                <w:webHidden/>
              </w:rPr>
              <w:t>6</w:t>
            </w:r>
            <w:r w:rsidR="005978F4">
              <w:rPr>
                <w:webHidden/>
              </w:rPr>
              <w:fldChar w:fldCharType="end"/>
            </w:r>
          </w:hyperlink>
        </w:p>
        <w:p w14:paraId="60C7C64C" w14:textId="2D021F67" w:rsidR="005978F4" w:rsidRDefault="001A7DD0">
          <w:pPr>
            <w:pStyle w:val="TOC1"/>
            <w:rPr>
              <w:rFonts w:asciiTheme="minorHAnsi" w:hAnsiTheme="minorHAnsi" w:cstheme="minorBidi"/>
              <w:sz w:val="22"/>
              <w:szCs w:val="22"/>
              <w:lang w:val="en-GB"/>
            </w:rPr>
          </w:pPr>
          <w:hyperlink w:anchor="_Toc93664904" w:history="1">
            <w:r w:rsidR="005978F4" w:rsidRPr="003B69D2">
              <w:rPr>
                <w:rStyle w:val="Hyperlink"/>
                <w:b/>
              </w:rPr>
              <w:t>8.</w:t>
            </w:r>
            <w:r w:rsidR="005978F4">
              <w:rPr>
                <w:rFonts w:asciiTheme="minorHAnsi" w:hAnsiTheme="minorHAnsi" w:cstheme="minorBidi"/>
                <w:sz w:val="22"/>
                <w:szCs w:val="22"/>
                <w:lang w:val="en-GB"/>
              </w:rPr>
              <w:tab/>
            </w:r>
            <w:r w:rsidR="005978F4" w:rsidRPr="003B69D2">
              <w:rPr>
                <w:rStyle w:val="Hyperlink"/>
                <w:b/>
              </w:rPr>
              <w:t>Risk Measurement and Management</w:t>
            </w:r>
            <w:r w:rsidR="005978F4">
              <w:rPr>
                <w:webHidden/>
              </w:rPr>
              <w:tab/>
            </w:r>
            <w:r w:rsidR="005978F4">
              <w:rPr>
                <w:webHidden/>
              </w:rPr>
              <w:fldChar w:fldCharType="begin"/>
            </w:r>
            <w:r w:rsidR="005978F4">
              <w:rPr>
                <w:webHidden/>
              </w:rPr>
              <w:instrText xml:space="preserve"> PAGEREF _Toc93664904 \h </w:instrText>
            </w:r>
            <w:r w:rsidR="005978F4">
              <w:rPr>
                <w:webHidden/>
              </w:rPr>
            </w:r>
            <w:r w:rsidR="005978F4">
              <w:rPr>
                <w:webHidden/>
              </w:rPr>
              <w:fldChar w:fldCharType="separate"/>
            </w:r>
            <w:r w:rsidR="005978F4">
              <w:rPr>
                <w:webHidden/>
              </w:rPr>
              <w:t>7</w:t>
            </w:r>
            <w:r w:rsidR="005978F4">
              <w:rPr>
                <w:webHidden/>
              </w:rPr>
              <w:fldChar w:fldCharType="end"/>
            </w:r>
          </w:hyperlink>
        </w:p>
        <w:p w14:paraId="6B0F48BE" w14:textId="4FFC39B1" w:rsidR="005978F4" w:rsidRDefault="001A7DD0">
          <w:pPr>
            <w:pStyle w:val="TOC1"/>
            <w:rPr>
              <w:rFonts w:asciiTheme="minorHAnsi" w:hAnsiTheme="minorHAnsi" w:cstheme="minorBidi"/>
              <w:sz w:val="22"/>
              <w:szCs w:val="22"/>
              <w:lang w:val="en-GB"/>
            </w:rPr>
          </w:pPr>
          <w:hyperlink w:anchor="_Toc93664905" w:history="1">
            <w:r w:rsidR="005978F4" w:rsidRPr="003B69D2">
              <w:rPr>
                <w:rStyle w:val="Hyperlink"/>
                <w:b/>
              </w:rPr>
              <w:t>9.</w:t>
            </w:r>
            <w:r w:rsidR="005978F4">
              <w:rPr>
                <w:rFonts w:asciiTheme="minorHAnsi" w:hAnsiTheme="minorHAnsi" w:cstheme="minorBidi"/>
                <w:sz w:val="22"/>
                <w:szCs w:val="22"/>
                <w:lang w:val="en-GB"/>
              </w:rPr>
              <w:tab/>
            </w:r>
            <w:r w:rsidR="005978F4" w:rsidRPr="003B69D2">
              <w:rPr>
                <w:rStyle w:val="Hyperlink"/>
                <w:b/>
              </w:rPr>
              <w:t>Policy on ESG and Stewardship</w:t>
            </w:r>
            <w:r w:rsidR="005978F4">
              <w:rPr>
                <w:webHidden/>
              </w:rPr>
              <w:tab/>
            </w:r>
            <w:r w:rsidR="005978F4">
              <w:rPr>
                <w:webHidden/>
              </w:rPr>
              <w:fldChar w:fldCharType="begin"/>
            </w:r>
            <w:r w:rsidR="005978F4">
              <w:rPr>
                <w:webHidden/>
              </w:rPr>
              <w:instrText xml:space="preserve"> PAGEREF _Toc93664905 \h </w:instrText>
            </w:r>
            <w:r w:rsidR="005978F4">
              <w:rPr>
                <w:webHidden/>
              </w:rPr>
            </w:r>
            <w:r w:rsidR="005978F4">
              <w:rPr>
                <w:webHidden/>
              </w:rPr>
              <w:fldChar w:fldCharType="separate"/>
            </w:r>
            <w:r w:rsidR="005978F4">
              <w:rPr>
                <w:webHidden/>
              </w:rPr>
              <w:t>9</w:t>
            </w:r>
            <w:r w:rsidR="005978F4">
              <w:rPr>
                <w:webHidden/>
              </w:rPr>
              <w:fldChar w:fldCharType="end"/>
            </w:r>
          </w:hyperlink>
        </w:p>
        <w:p w14:paraId="446699E2" w14:textId="08834E66" w:rsidR="005978F4" w:rsidRDefault="001A7DD0">
          <w:pPr>
            <w:pStyle w:val="TOC1"/>
            <w:rPr>
              <w:rFonts w:asciiTheme="minorHAnsi" w:hAnsiTheme="minorHAnsi" w:cstheme="minorBidi"/>
              <w:sz w:val="22"/>
              <w:szCs w:val="22"/>
              <w:lang w:val="en-GB"/>
            </w:rPr>
          </w:pPr>
          <w:hyperlink w:anchor="_Toc93664906" w:history="1">
            <w:r w:rsidR="005978F4" w:rsidRPr="003B69D2">
              <w:rPr>
                <w:rStyle w:val="Hyperlink"/>
                <w:b/>
              </w:rPr>
              <w:t>10.</w:t>
            </w:r>
            <w:r w:rsidR="005978F4">
              <w:rPr>
                <w:rFonts w:asciiTheme="minorHAnsi" w:hAnsiTheme="minorHAnsi" w:cstheme="minorBidi"/>
                <w:sz w:val="22"/>
                <w:szCs w:val="22"/>
                <w:lang w:val="en-GB"/>
              </w:rPr>
              <w:tab/>
            </w:r>
            <w:r w:rsidR="005978F4" w:rsidRPr="003B69D2">
              <w:rPr>
                <w:rStyle w:val="Hyperlink"/>
                <w:b/>
              </w:rPr>
              <w:t>Asset Manager Arrangements</w:t>
            </w:r>
            <w:r w:rsidR="005978F4">
              <w:rPr>
                <w:webHidden/>
              </w:rPr>
              <w:tab/>
            </w:r>
            <w:r w:rsidR="005978F4">
              <w:rPr>
                <w:webHidden/>
              </w:rPr>
              <w:fldChar w:fldCharType="begin"/>
            </w:r>
            <w:r w:rsidR="005978F4">
              <w:rPr>
                <w:webHidden/>
              </w:rPr>
              <w:instrText xml:space="preserve"> PAGEREF _Toc93664906 \h </w:instrText>
            </w:r>
            <w:r w:rsidR="005978F4">
              <w:rPr>
                <w:webHidden/>
              </w:rPr>
            </w:r>
            <w:r w:rsidR="005978F4">
              <w:rPr>
                <w:webHidden/>
              </w:rPr>
              <w:fldChar w:fldCharType="separate"/>
            </w:r>
            <w:r w:rsidR="005978F4">
              <w:rPr>
                <w:webHidden/>
              </w:rPr>
              <w:t>10</w:t>
            </w:r>
            <w:r w:rsidR="005978F4">
              <w:rPr>
                <w:webHidden/>
              </w:rPr>
              <w:fldChar w:fldCharType="end"/>
            </w:r>
          </w:hyperlink>
        </w:p>
        <w:p w14:paraId="2F2A4C7E" w14:textId="0016E22E" w:rsidR="005978F4" w:rsidRDefault="001A7DD0">
          <w:pPr>
            <w:pStyle w:val="TOC1"/>
            <w:rPr>
              <w:rFonts w:asciiTheme="minorHAnsi" w:hAnsiTheme="minorHAnsi" w:cstheme="minorBidi"/>
              <w:sz w:val="22"/>
              <w:szCs w:val="22"/>
              <w:lang w:val="en-GB"/>
            </w:rPr>
          </w:pPr>
          <w:hyperlink w:anchor="_Toc93664907" w:history="1">
            <w:r w:rsidR="005978F4" w:rsidRPr="003B69D2">
              <w:rPr>
                <w:rStyle w:val="Hyperlink"/>
                <w:b/>
              </w:rPr>
              <w:t>11.</w:t>
            </w:r>
            <w:r w:rsidR="005978F4">
              <w:rPr>
                <w:rFonts w:asciiTheme="minorHAnsi" w:hAnsiTheme="minorHAnsi" w:cstheme="minorBidi"/>
                <w:sz w:val="22"/>
                <w:szCs w:val="22"/>
                <w:lang w:val="en-GB"/>
              </w:rPr>
              <w:tab/>
            </w:r>
            <w:r w:rsidR="005978F4" w:rsidRPr="003B69D2">
              <w:rPr>
                <w:rStyle w:val="Hyperlink"/>
                <w:b/>
              </w:rPr>
              <w:t>Compliance with this Statement</w:t>
            </w:r>
            <w:r w:rsidR="005978F4">
              <w:rPr>
                <w:webHidden/>
              </w:rPr>
              <w:tab/>
            </w:r>
            <w:r w:rsidR="005978F4">
              <w:rPr>
                <w:webHidden/>
              </w:rPr>
              <w:fldChar w:fldCharType="begin"/>
            </w:r>
            <w:r w:rsidR="005978F4">
              <w:rPr>
                <w:webHidden/>
              </w:rPr>
              <w:instrText xml:space="preserve"> PAGEREF _Toc93664907 \h </w:instrText>
            </w:r>
            <w:r w:rsidR="005978F4">
              <w:rPr>
                <w:webHidden/>
              </w:rPr>
            </w:r>
            <w:r w:rsidR="005978F4">
              <w:rPr>
                <w:webHidden/>
              </w:rPr>
              <w:fldChar w:fldCharType="separate"/>
            </w:r>
            <w:r w:rsidR="005978F4">
              <w:rPr>
                <w:webHidden/>
              </w:rPr>
              <w:t>12</w:t>
            </w:r>
            <w:r w:rsidR="005978F4">
              <w:rPr>
                <w:webHidden/>
              </w:rPr>
              <w:fldChar w:fldCharType="end"/>
            </w:r>
          </w:hyperlink>
        </w:p>
        <w:p w14:paraId="403D467F" w14:textId="04C54C01" w:rsidR="00807C6A" w:rsidRDefault="00807C6A">
          <w:r>
            <w:rPr>
              <w:b/>
              <w:bCs/>
              <w:noProof/>
            </w:rPr>
            <w:fldChar w:fldCharType="end"/>
          </w:r>
        </w:p>
      </w:sdtContent>
    </w:sdt>
    <w:p w14:paraId="6B75B215" w14:textId="7551CB39" w:rsidR="00807C6A" w:rsidRDefault="00807C6A">
      <w:pPr>
        <w:rPr>
          <w:rFonts w:ascii="Verdana" w:eastAsia="Times New Roman" w:hAnsi="Verdana" w:cs="Arial"/>
          <w:b/>
          <w:sz w:val="22"/>
          <w:szCs w:val="22"/>
          <w:u w:val="single"/>
          <w:lang w:val="en-US"/>
        </w:rPr>
      </w:pPr>
    </w:p>
    <w:p w14:paraId="326BBBE3" w14:textId="6800381D" w:rsidR="00807C6A" w:rsidRDefault="00807C6A">
      <w:pPr>
        <w:rPr>
          <w:rFonts w:ascii="Verdana" w:eastAsia="Times New Roman" w:hAnsi="Verdana" w:cs="Arial"/>
          <w:b/>
          <w:sz w:val="22"/>
          <w:szCs w:val="22"/>
          <w:u w:val="single"/>
          <w:lang w:val="en-US"/>
        </w:rPr>
      </w:pPr>
      <w:r>
        <w:rPr>
          <w:rFonts w:ascii="Verdana" w:eastAsia="Times New Roman" w:hAnsi="Verdana" w:cs="Arial"/>
          <w:b/>
          <w:sz w:val="22"/>
          <w:szCs w:val="22"/>
          <w:u w:val="single"/>
          <w:lang w:val="en-US"/>
        </w:rPr>
        <w:br w:type="page"/>
      </w:r>
    </w:p>
    <w:p w14:paraId="3170941F" w14:textId="07E0FDFA" w:rsidR="00723663" w:rsidRPr="00C611BC" w:rsidRDefault="004E5E0D" w:rsidP="00C611BC">
      <w:pPr>
        <w:pStyle w:val="Heading1"/>
        <w:numPr>
          <w:ilvl w:val="0"/>
          <w:numId w:val="15"/>
        </w:numPr>
        <w:rPr>
          <w:b/>
          <w:color w:val="62B5E5" w:themeColor="accent3"/>
          <w:sz w:val="24"/>
          <w:szCs w:val="24"/>
          <w:lang w:val="en-US"/>
        </w:rPr>
      </w:pPr>
      <w:bookmarkStart w:id="2" w:name="_Toc18332003"/>
      <w:bookmarkStart w:id="3" w:name="_Toc18332151"/>
      <w:bookmarkStart w:id="4" w:name="_Toc18332005"/>
      <w:bookmarkStart w:id="5" w:name="_Toc18332153"/>
      <w:bookmarkStart w:id="6" w:name="_Toc18332006"/>
      <w:bookmarkStart w:id="7" w:name="_Toc18332154"/>
      <w:bookmarkStart w:id="8" w:name="_Toc93664897"/>
      <w:bookmarkEnd w:id="2"/>
      <w:bookmarkEnd w:id="3"/>
      <w:bookmarkEnd w:id="4"/>
      <w:bookmarkEnd w:id="5"/>
      <w:bookmarkEnd w:id="6"/>
      <w:bookmarkEnd w:id="7"/>
      <w:r w:rsidRPr="00C611BC">
        <w:rPr>
          <w:b/>
          <w:color w:val="62B5E5" w:themeColor="accent3"/>
          <w:sz w:val="24"/>
          <w:szCs w:val="24"/>
          <w:lang w:val="en-US"/>
        </w:rPr>
        <w:lastRenderedPageBreak/>
        <w:t>Introduction</w:t>
      </w:r>
      <w:bookmarkEnd w:id="8"/>
    </w:p>
    <w:p w14:paraId="46EF26C7" w14:textId="77777777" w:rsidR="00723663" w:rsidRPr="00763CC7" w:rsidRDefault="00723663" w:rsidP="00723663">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Verdana" w:eastAsia="Times New Roman" w:hAnsi="Verdana" w:cs="Arial"/>
          <w:sz w:val="22"/>
          <w:szCs w:val="22"/>
          <w:lang w:val="en-US"/>
        </w:rPr>
      </w:pPr>
    </w:p>
    <w:p w14:paraId="6A3D6556" w14:textId="37A88435" w:rsidR="00DE754B" w:rsidRPr="00EC2161"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EC2161">
        <w:rPr>
          <w:rFonts w:asciiTheme="majorHAnsi" w:eastAsia="Times New Roman" w:hAnsiTheme="majorHAnsi" w:cs="Arial"/>
          <w:sz w:val="22"/>
          <w:szCs w:val="22"/>
        </w:rPr>
        <w:t xml:space="preserve">This is the Statement of Investment Principles (the “Statement”) for the </w:t>
      </w:r>
      <w:r w:rsidR="00161EC9">
        <w:rPr>
          <w:rFonts w:asciiTheme="majorHAnsi" w:eastAsia="Times New Roman" w:hAnsiTheme="majorHAnsi" w:cs="Arial"/>
          <w:sz w:val="22"/>
          <w:szCs w:val="22"/>
        </w:rPr>
        <w:t>Galderma (UK) Limited Section of the Deloitte Pensions Master Plan</w:t>
      </w:r>
      <w:r w:rsidR="00EC2161" w:rsidRPr="00EC2161">
        <w:rPr>
          <w:rFonts w:asciiTheme="majorHAnsi" w:eastAsia="Times New Roman" w:hAnsiTheme="majorHAnsi" w:cs="Arial"/>
          <w:sz w:val="22"/>
          <w:szCs w:val="22"/>
        </w:rPr>
        <w:t xml:space="preserve"> </w:t>
      </w:r>
      <w:r w:rsidRPr="00EC2161">
        <w:rPr>
          <w:rFonts w:asciiTheme="majorHAnsi" w:eastAsia="Times New Roman" w:hAnsiTheme="majorHAnsi" w:cs="Arial"/>
          <w:sz w:val="22"/>
          <w:szCs w:val="22"/>
        </w:rPr>
        <w:t>(the “</w:t>
      </w:r>
      <w:r w:rsidR="00161EC9">
        <w:rPr>
          <w:rFonts w:asciiTheme="majorHAnsi" w:eastAsia="Times New Roman" w:hAnsiTheme="majorHAnsi" w:cs="Arial"/>
          <w:sz w:val="22"/>
          <w:szCs w:val="22"/>
        </w:rPr>
        <w:t>Scheme</w:t>
      </w:r>
      <w:r w:rsidRPr="00EC2161">
        <w:rPr>
          <w:rFonts w:asciiTheme="majorHAnsi" w:eastAsia="Times New Roman" w:hAnsiTheme="majorHAnsi" w:cs="Arial"/>
          <w:sz w:val="22"/>
          <w:szCs w:val="22"/>
        </w:rPr>
        <w:t>”)</w:t>
      </w:r>
      <w:r w:rsidR="005F1A96">
        <w:rPr>
          <w:rFonts w:asciiTheme="majorHAnsi" w:eastAsia="Times New Roman" w:hAnsiTheme="majorHAnsi" w:cs="Arial"/>
          <w:sz w:val="22"/>
          <w:szCs w:val="22"/>
        </w:rPr>
        <w:t>. It has been prepared on behalf of the Section Trustee (the “Trustee”)</w:t>
      </w:r>
      <w:r w:rsidRPr="00EC2161">
        <w:rPr>
          <w:rFonts w:asciiTheme="majorHAnsi" w:eastAsia="Times New Roman" w:hAnsiTheme="majorHAnsi" w:cs="Arial"/>
          <w:sz w:val="22"/>
          <w:szCs w:val="22"/>
        </w:rPr>
        <w:t xml:space="preserve"> </w:t>
      </w:r>
      <w:r w:rsidR="005F1A96">
        <w:rPr>
          <w:rFonts w:asciiTheme="majorHAnsi" w:eastAsia="Times New Roman" w:hAnsiTheme="majorHAnsi" w:cs="Arial"/>
          <w:sz w:val="22"/>
          <w:szCs w:val="22"/>
        </w:rPr>
        <w:t>to comply with</w:t>
      </w:r>
      <w:r w:rsidRPr="00EC2161">
        <w:rPr>
          <w:rFonts w:asciiTheme="majorHAnsi" w:eastAsia="Times New Roman" w:hAnsiTheme="majorHAnsi" w:cs="Arial"/>
          <w:sz w:val="22"/>
          <w:szCs w:val="22"/>
        </w:rPr>
        <w:t xml:space="preserve"> section 35 of the Pensions Act 1995 (the “Act”), as amended by the Pensions Act 2004, and the Occupational Pension Schemes (Investment) Regulations 2005 (the Investment Regulations).</w:t>
      </w:r>
    </w:p>
    <w:p w14:paraId="14B571C6" w14:textId="72E3200D" w:rsidR="00DE754B" w:rsidRPr="00EC2161"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highlight w:val="yellow"/>
        </w:rPr>
      </w:pPr>
    </w:p>
    <w:p w14:paraId="0FDA7B8B" w14:textId="7F2AEBCA" w:rsidR="00DE754B" w:rsidRPr="00EC2161"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EC2161">
        <w:rPr>
          <w:rFonts w:asciiTheme="majorHAnsi" w:eastAsia="Times New Roman" w:hAnsiTheme="majorHAnsi" w:cs="Arial"/>
          <w:sz w:val="22"/>
          <w:szCs w:val="22"/>
        </w:rPr>
        <w:t xml:space="preserve">The </w:t>
      </w:r>
      <w:r w:rsidR="00D158B5">
        <w:rPr>
          <w:rFonts w:asciiTheme="majorHAnsi" w:eastAsia="Times New Roman" w:hAnsiTheme="majorHAnsi" w:cs="Arial"/>
          <w:sz w:val="22"/>
          <w:szCs w:val="22"/>
        </w:rPr>
        <w:t>Trustee</w:t>
      </w:r>
      <w:r w:rsidRPr="00EC2161">
        <w:rPr>
          <w:rFonts w:asciiTheme="majorHAnsi" w:eastAsia="Times New Roman" w:hAnsiTheme="majorHAnsi" w:cs="Arial"/>
          <w:sz w:val="22"/>
          <w:szCs w:val="22"/>
        </w:rPr>
        <w:t xml:space="preserve"> will review this Statement at least every three years to ensure it remains accurate. The Statement will be amended more frequently and as soon as possible should any changes be made to the </w:t>
      </w:r>
      <w:r w:rsidR="00E0197B">
        <w:rPr>
          <w:rFonts w:asciiTheme="majorHAnsi" w:eastAsia="Times New Roman" w:hAnsiTheme="majorHAnsi" w:cs="Arial"/>
          <w:sz w:val="22"/>
          <w:szCs w:val="22"/>
        </w:rPr>
        <w:t>Scheme</w:t>
      </w:r>
      <w:r w:rsidRPr="00EC2161">
        <w:rPr>
          <w:rFonts w:asciiTheme="majorHAnsi" w:eastAsia="Times New Roman" w:hAnsiTheme="majorHAnsi" w:cs="Arial"/>
          <w:sz w:val="22"/>
          <w:szCs w:val="22"/>
        </w:rPr>
        <w:t xml:space="preserve">’s investment strategy. The </w:t>
      </w:r>
      <w:r w:rsidR="00D158B5">
        <w:rPr>
          <w:rFonts w:asciiTheme="majorHAnsi" w:eastAsia="Times New Roman" w:hAnsiTheme="majorHAnsi" w:cs="Arial"/>
          <w:sz w:val="22"/>
          <w:szCs w:val="22"/>
        </w:rPr>
        <w:t>Trustee</w:t>
      </w:r>
      <w:r w:rsidRPr="00EC2161">
        <w:rPr>
          <w:rFonts w:asciiTheme="majorHAnsi" w:eastAsia="Times New Roman" w:hAnsiTheme="majorHAnsi" w:cs="Arial"/>
          <w:sz w:val="22"/>
          <w:szCs w:val="22"/>
        </w:rPr>
        <w:t xml:space="preserve"> </w:t>
      </w:r>
      <w:r w:rsidR="00D158B5">
        <w:rPr>
          <w:rFonts w:asciiTheme="majorHAnsi" w:eastAsia="Times New Roman" w:hAnsiTheme="majorHAnsi" w:cs="Arial"/>
          <w:sz w:val="22"/>
          <w:szCs w:val="22"/>
        </w:rPr>
        <w:t>is</w:t>
      </w:r>
      <w:r w:rsidRPr="00EC2161">
        <w:rPr>
          <w:rFonts w:asciiTheme="majorHAnsi" w:eastAsia="Times New Roman" w:hAnsiTheme="majorHAnsi" w:cs="Arial"/>
          <w:sz w:val="22"/>
          <w:szCs w:val="22"/>
        </w:rPr>
        <w:t xml:space="preserve"> committed to maintaining the accuracy of th</w:t>
      </w:r>
      <w:r w:rsidR="007E372C">
        <w:rPr>
          <w:rFonts w:asciiTheme="majorHAnsi" w:eastAsia="Times New Roman" w:hAnsiTheme="majorHAnsi" w:cs="Arial"/>
          <w:sz w:val="22"/>
          <w:szCs w:val="22"/>
        </w:rPr>
        <w:t>is</w:t>
      </w:r>
      <w:r w:rsidRPr="00EC2161">
        <w:rPr>
          <w:rFonts w:asciiTheme="majorHAnsi" w:eastAsia="Times New Roman" w:hAnsiTheme="majorHAnsi" w:cs="Arial"/>
          <w:sz w:val="22"/>
          <w:szCs w:val="22"/>
        </w:rPr>
        <w:t xml:space="preserve"> Statement on an ongoing basis. </w:t>
      </w:r>
    </w:p>
    <w:p w14:paraId="4BC24954" w14:textId="77777777" w:rsidR="00DE754B" w:rsidRPr="00EC2161"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1E11E298" w14:textId="5B3452B5" w:rsidR="00DE754B"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EC2161">
        <w:rPr>
          <w:rFonts w:asciiTheme="majorHAnsi" w:eastAsia="Times New Roman" w:hAnsiTheme="majorHAnsi" w:cs="Arial"/>
          <w:sz w:val="22"/>
          <w:szCs w:val="22"/>
        </w:rPr>
        <w:t xml:space="preserve">As required under the Act, the </w:t>
      </w:r>
      <w:r w:rsidR="00D158B5">
        <w:rPr>
          <w:rFonts w:asciiTheme="majorHAnsi" w:eastAsia="Times New Roman" w:hAnsiTheme="majorHAnsi" w:cs="Arial"/>
          <w:sz w:val="22"/>
          <w:szCs w:val="22"/>
        </w:rPr>
        <w:t>Trustee</w:t>
      </w:r>
      <w:r w:rsidRPr="00EC2161">
        <w:rPr>
          <w:rFonts w:asciiTheme="majorHAnsi" w:eastAsia="Times New Roman" w:hAnsiTheme="majorHAnsi" w:cs="Arial"/>
          <w:sz w:val="22"/>
          <w:szCs w:val="22"/>
        </w:rPr>
        <w:t xml:space="preserve"> ha</w:t>
      </w:r>
      <w:r w:rsidR="00D158B5">
        <w:rPr>
          <w:rFonts w:asciiTheme="majorHAnsi" w:eastAsia="Times New Roman" w:hAnsiTheme="majorHAnsi" w:cs="Arial"/>
          <w:sz w:val="22"/>
          <w:szCs w:val="22"/>
        </w:rPr>
        <w:t>s</w:t>
      </w:r>
      <w:r w:rsidRPr="00EC2161">
        <w:rPr>
          <w:rFonts w:asciiTheme="majorHAnsi" w:eastAsia="Times New Roman" w:hAnsiTheme="majorHAnsi" w:cs="Arial"/>
          <w:sz w:val="22"/>
          <w:szCs w:val="22"/>
        </w:rPr>
        <w:t xml:space="preserve"> consulted a suitably qualified person by obtaining written advice from Deloitte Total Reward and Benefits Limited (“DTRB”) on the suitability of the investments and the principles contained in this Statement. The </w:t>
      </w:r>
      <w:r w:rsidR="00D158B5">
        <w:rPr>
          <w:rFonts w:asciiTheme="majorHAnsi" w:eastAsia="Times New Roman" w:hAnsiTheme="majorHAnsi" w:cs="Arial"/>
          <w:sz w:val="22"/>
          <w:szCs w:val="22"/>
        </w:rPr>
        <w:t>Trustee</w:t>
      </w:r>
      <w:r w:rsidRPr="00EC2161">
        <w:rPr>
          <w:rFonts w:asciiTheme="majorHAnsi" w:eastAsia="Times New Roman" w:hAnsiTheme="majorHAnsi" w:cs="Arial"/>
          <w:sz w:val="22"/>
          <w:szCs w:val="22"/>
        </w:rPr>
        <w:t xml:space="preserve"> compl</w:t>
      </w:r>
      <w:r w:rsidR="00D158B5">
        <w:rPr>
          <w:rFonts w:asciiTheme="majorHAnsi" w:eastAsia="Times New Roman" w:hAnsiTheme="majorHAnsi" w:cs="Arial"/>
          <w:sz w:val="22"/>
          <w:szCs w:val="22"/>
        </w:rPr>
        <w:t>ies</w:t>
      </w:r>
      <w:r w:rsidRPr="00EC2161">
        <w:rPr>
          <w:rFonts w:asciiTheme="majorHAnsi" w:eastAsia="Times New Roman" w:hAnsiTheme="majorHAnsi" w:cs="Arial"/>
          <w:sz w:val="22"/>
          <w:szCs w:val="22"/>
        </w:rPr>
        <w:t xml:space="preserve"> with the requirements to maintain and take advice on the Statement and consult with </w:t>
      </w:r>
      <w:r w:rsidR="00E0197B">
        <w:rPr>
          <w:rFonts w:asciiTheme="majorHAnsi" w:eastAsia="Times New Roman" w:hAnsiTheme="majorHAnsi" w:cs="Arial"/>
          <w:sz w:val="22"/>
          <w:szCs w:val="22"/>
        </w:rPr>
        <w:t>Galderma (UK) Ltd</w:t>
      </w:r>
      <w:r w:rsidR="0065227F">
        <w:rPr>
          <w:rFonts w:asciiTheme="majorHAnsi" w:eastAsia="Times New Roman" w:hAnsiTheme="majorHAnsi" w:cs="Arial"/>
          <w:sz w:val="22"/>
          <w:szCs w:val="22"/>
        </w:rPr>
        <w:t xml:space="preserve"> (the “</w:t>
      </w:r>
      <w:r w:rsidR="00485251">
        <w:rPr>
          <w:rFonts w:asciiTheme="majorHAnsi" w:eastAsia="Times New Roman" w:hAnsiTheme="majorHAnsi" w:cs="Arial"/>
          <w:sz w:val="22"/>
          <w:szCs w:val="22"/>
        </w:rPr>
        <w:t>Principal Employer</w:t>
      </w:r>
      <w:r w:rsidR="0065227F">
        <w:rPr>
          <w:rFonts w:asciiTheme="majorHAnsi" w:eastAsia="Times New Roman" w:hAnsiTheme="majorHAnsi" w:cs="Arial"/>
          <w:sz w:val="22"/>
          <w:szCs w:val="22"/>
        </w:rPr>
        <w:t>”)</w:t>
      </w:r>
      <w:r w:rsidRPr="00EC2161">
        <w:rPr>
          <w:rFonts w:asciiTheme="majorHAnsi" w:eastAsia="Times New Roman" w:hAnsiTheme="majorHAnsi" w:cs="Arial"/>
          <w:sz w:val="22"/>
          <w:szCs w:val="22"/>
        </w:rPr>
        <w:t>. The</w:t>
      </w:r>
      <w:r w:rsidR="0065227F">
        <w:rPr>
          <w:rFonts w:asciiTheme="majorHAnsi" w:eastAsia="Times New Roman" w:hAnsiTheme="majorHAnsi" w:cs="Arial"/>
          <w:sz w:val="22"/>
          <w:szCs w:val="22"/>
        </w:rPr>
        <w:t xml:space="preserve"> </w:t>
      </w:r>
      <w:r w:rsidR="00485251">
        <w:rPr>
          <w:rFonts w:asciiTheme="majorHAnsi" w:eastAsia="Times New Roman" w:hAnsiTheme="majorHAnsi" w:cs="Arial"/>
          <w:sz w:val="22"/>
          <w:szCs w:val="22"/>
        </w:rPr>
        <w:t>Principal Employer</w:t>
      </w:r>
      <w:r w:rsidRPr="00EC2161">
        <w:rPr>
          <w:rFonts w:asciiTheme="majorHAnsi" w:eastAsia="Times New Roman" w:hAnsiTheme="majorHAnsi" w:cs="Arial"/>
          <w:sz w:val="22"/>
          <w:szCs w:val="22"/>
        </w:rPr>
        <w:t xml:space="preserve"> has been consulted on the contents of this Statement and will be consulted should the </w:t>
      </w:r>
      <w:r w:rsidR="00D158B5">
        <w:rPr>
          <w:rFonts w:asciiTheme="majorHAnsi" w:eastAsia="Times New Roman" w:hAnsiTheme="majorHAnsi" w:cs="Arial"/>
          <w:sz w:val="22"/>
          <w:szCs w:val="22"/>
        </w:rPr>
        <w:t>Trustee</w:t>
      </w:r>
      <w:r w:rsidRPr="00EC2161">
        <w:rPr>
          <w:rFonts w:asciiTheme="majorHAnsi" w:eastAsia="Times New Roman" w:hAnsiTheme="majorHAnsi" w:cs="Arial"/>
          <w:sz w:val="22"/>
          <w:szCs w:val="22"/>
        </w:rPr>
        <w:t xml:space="preserve"> wish to make any amendments to this Statement.</w:t>
      </w:r>
    </w:p>
    <w:p w14:paraId="177A4C57" w14:textId="369961B3" w:rsidR="004E1A80" w:rsidRDefault="004E1A80"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3545F362" w14:textId="3E5AC0CC" w:rsidR="004E1A80" w:rsidRDefault="00B73FA1"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The Trustee has full regard to its investment powers set out in the</w:t>
      </w:r>
      <w:r w:rsidR="003214F6">
        <w:rPr>
          <w:rFonts w:asciiTheme="majorHAnsi" w:eastAsia="Times New Roman" w:hAnsiTheme="majorHAnsi" w:cs="Arial"/>
          <w:sz w:val="22"/>
          <w:szCs w:val="22"/>
        </w:rPr>
        <w:t xml:space="preserve"> Galderma (UK) Limited</w:t>
      </w:r>
      <w:r w:rsidR="00527A48">
        <w:rPr>
          <w:rFonts w:asciiTheme="majorHAnsi" w:eastAsia="Times New Roman" w:hAnsiTheme="majorHAnsi" w:cs="Arial"/>
          <w:sz w:val="22"/>
          <w:szCs w:val="22"/>
        </w:rPr>
        <w:t xml:space="preserve"> Section Rules</w:t>
      </w:r>
      <w:r>
        <w:rPr>
          <w:rFonts w:asciiTheme="majorHAnsi" w:eastAsia="Times New Roman" w:hAnsiTheme="majorHAnsi" w:cs="Arial"/>
          <w:sz w:val="22"/>
          <w:szCs w:val="22"/>
        </w:rPr>
        <w:t>.</w:t>
      </w:r>
      <w:r w:rsidR="004E1A80" w:rsidRPr="00430AD2">
        <w:rPr>
          <w:rFonts w:asciiTheme="majorHAnsi" w:eastAsia="Times New Roman" w:hAnsiTheme="majorHAnsi" w:cs="Arial"/>
          <w:sz w:val="22"/>
          <w:szCs w:val="22"/>
        </w:rPr>
        <w:t xml:space="preserve"> Th</w:t>
      </w:r>
      <w:r>
        <w:rPr>
          <w:rFonts w:asciiTheme="majorHAnsi" w:eastAsia="Times New Roman" w:hAnsiTheme="majorHAnsi" w:cs="Arial"/>
          <w:sz w:val="22"/>
          <w:szCs w:val="22"/>
        </w:rPr>
        <w:t>e</w:t>
      </w:r>
      <w:r w:rsidR="004E1A80" w:rsidRPr="00430AD2">
        <w:rPr>
          <w:rFonts w:asciiTheme="majorHAnsi" w:eastAsia="Times New Roman" w:hAnsiTheme="majorHAnsi" w:cs="Arial"/>
          <w:sz w:val="22"/>
          <w:szCs w:val="22"/>
        </w:rPr>
        <w:t xml:space="preserve"> </w:t>
      </w:r>
      <w:r>
        <w:rPr>
          <w:rFonts w:asciiTheme="majorHAnsi" w:eastAsia="Times New Roman" w:hAnsiTheme="majorHAnsi" w:cs="Arial"/>
          <w:sz w:val="22"/>
          <w:szCs w:val="22"/>
        </w:rPr>
        <w:t>S</w:t>
      </w:r>
      <w:r w:rsidR="004E1A80" w:rsidRPr="00430AD2">
        <w:rPr>
          <w:rFonts w:asciiTheme="majorHAnsi" w:eastAsia="Times New Roman" w:hAnsiTheme="majorHAnsi" w:cs="Arial"/>
          <w:sz w:val="22"/>
          <w:szCs w:val="22"/>
        </w:rPr>
        <w:t>tatement is consistent with those powers.</w:t>
      </w:r>
    </w:p>
    <w:p w14:paraId="5D309162" w14:textId="77777777" w:rsidR="00DE754B" w:rsidRPr="00DE754B" w:rsidRDefault="00DE754B" w:rsidP="00DE754B">
      <w:pPr>
        <w:pStyle w:val="Heading1"/>
        <w:numPr>
          <w:ilvl w:val="0"/>
          <w:numId w:val="15"/>
        </w:numPr>
        <w:rPr>
          <w:b/>
          <w:color w:val="62B5E5" w:themeColor="accent3"/>
          <w:sz w:val="24"/>
          <w:szCs w:val="24"/>
          <w:lang w:val="en-US"/>
        </w:rPr>
      </w:pPr>
      <w:bookmarkStart w:id="9" w:name="_Toc29549416"/>
      <w:bookmarkStart w:id="10" w:name="_Toc93664898"/>
      <w:bookmarkEnd w:id="9"/>
      <w:r w:rsidRPr="00DE754B">
        <w:rPr>
          <w:b/>
          <w:color w:val="62B5E5" w:themeColor="accent3"/>
          <w:sz w:val="24"/>
          <w:szCs w:val="24"/>
          <w:lang w:val="en-US"/>
        </w:rPr>
        <w:t>Investment Objectives</w:t>
      </w:r>
      <w:bookmarkEnd w:id="10"/>
    </w:p>
    <w:p w14:paraId="2B463CD0" w14:textId="77777777" w:rsidR="00DE754B" w:rsidRPr="00DE754B"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highlight w:val="yellow"/>
        </w:rPr>
      </w:pPr>
    </w:p>
    <w:p w14:paraId="3486D190" w14:textId="140966D3" w:rsidR="00E0197B" w:rsidRDefault="003214F6" w:rsidP="00E0197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T</w:t>
      </w:r>
      <w:r w:rsidR="00E0197B" w:rsidRPr="00E0197B">
        <w:rPr>
          <w:rFonts w:asciiTheme="majorHAnsi" w:eastAsia="Times New Roman" w:hAnsiTheme="majorHAnsi" w:cs="Arial"/>
          <w:sz w:val="22"/>
          <w:szCs w:val="22"/>
        </w:rPr>
        <w:t xml:space="preserve">he Scheme </w:t>
      </w:r>
      <w:r>
        <w:rPr>
          <w:rFonts w:asciiTheme="majorHAnsi" w:eastAsia="Times New Roman" w:hAnsiTheme="majorHAnsi" w:cs="Arial"/>
          <w:sz w:val="22"/>
          <w:szCs w:val="22"/>
        </w:rPr>
        <w:t>is</w:t>
      </w:r>
      <w:r w:rsidR="00E0197B" w:rsidRPr="00E0197B">
        <w:rPr>
          <w:rFonts w:asciiTheme="majorHAnsi" w:eastAsia="Times New Roman" w:hAnsiTheme="majorHAnsi" w:cs="Arial"/>
          <w:sz w:val="22"/>
          <w:szCs w:val="22"/>
        </w:rPr>
        <w:t xml:space="preserve"> close to fully-funded on a low</w:t>
      </w:r>
      <w:r w:rsidR="00844013">
        <w:rPr>
          <w:rFonts w:asciiTheme="majorHAnsi" w:eastAsia="Times New Roman" w:hAnsiTheme="majorHAnsi" w:cs="Arial"/>
          <w:sz w:val="22"/>
          <w:szCs w:val="22"/>
        </w:rPr>
        <w:t>-</w:t>
      </w:r>
      <w:r w:rsidR="00E0197B" w:rsidRPr="00E0197B">
        <w:rPr>
          <w:rFonts w:asciiTheme="majorHAnsi" w:eastAsia="Times New Roman" w:hAnsiTheme="majorHAnsi" w:cs="Arial"/>
          <w:sz w:val="22"/>
          <w:szCs w:val="22"/>
        </w:rPr>
        <w:t>risk funding basis. Therefore</w:t>
      </w:r>
      <w:r w:rsidR="00E0197B">
        <w:rPr>
          <w:rFonts w:asciiTheme="majorHAnsi" w:eastAsia="Times New Roman" w:hAnsiTheme="majorHAnsi" w:cs="Arial"/>
          <w:sz w:val="22"/>
          <w:szCs w:val="22"/>
        </w:rPr>
        <w:t>,</w:t>
      </w:r>
      <w:r w:rsidR="00E0197B" w:rsidRPr="00E0197B">
        <w:rPr>
          <w:rFonts w:asciiTheme="majorHAnsi" w:eastAsia="Times New Roman" w:hAnsiTheme="majorHAnsi" w:cs="Arial"/>
          <w:sz w:val="22"/>
          <w:szCs w:val="22"/>
        </w:rPr>
        <w:t xml:space="preserve"> the Trustee aims to invest in a relatively low-risk investment strategy</w:t>
      </w:r>
      <w:r w:rsidR="00FF2422">
        <w:rPr>
          <w:rFonts w:asciiTheme="majorHAnsi" w:eastAsia="Times New Roman" w:hAnsiTheme="majorHAnsi" w:cs="Arial"/>
          <w:sz w:val="22"/>
          <w:szCs w:val="22"/>
        </w:rPr>
        <w:t xml:space="preserve"> with high levels of hedging</w:t>
      </w:r>
      <w:r w:rsidR="00E0197B" w:rsidRPr="00E0197B">
        <w:rPr>
          <w:rFonts w:asciiTheme="majorHAnsi" w:eastAsia="Times New Roman" w:hAnsiTheme="majorHAnsi" w:cs="Arial"/>
          <w:sz w:val="22"/>
          <w:szCs w:val="22"/>
        </w:rPr>
        <w:t xml:space="preserve"> to </w:t>
      </w:r>
      <w:r w:rsidR="00FF2422">
        <w:rPr>
          <w:rFonts w:asciiTheme="majorHAnsi" w:eastAsia="Times New Roman" w:hAnsiTheme="majorHAnsi" w:cs="Arial"/>
          <w:sz w:val="22"/>
          <w:szCs w:val="22"/>
        </w:rPr>
        <w:t>lessen</w:t>
      </w:r>
      <w:r w:rsidR="00FF2422" w:rsidRPr="00E0197B">
        <w:rPr>
          <w:rFonts w:asciiTheme="majorHAnsi" w:eastAsia="Times New Roman" w:hAnsiTheme="majorHAnsi" w:cs="Arial"/>
          <w:sz w:val="22"/>
          <w:szCs w:val="22"/>
        </w:rPr>
        <w:t xml:space="preserve"> </w:t>
      </w:r>
      <w:r w:rsidR="00E0197B" w:rsidRPr="00E0197B">
        <w:rPr>
          <w:rFonts w:asciiTheme="majorHAnsi" w:eastAsia="Times New Roman" w:hAnsiTheme="majorHAnsi" w:cs="Arial"/>
          <w:sz w:val="22"/>
          <w:szCs w:val="22"/>
        </w:rPr>
        <w:t xml:space="preserve">short-term funding level volatility, whilst achieving some investment outperformance to make progress towards buyout in the longer-term. </w:t>
      </w:r>
    </w:p>
    <w:p w14:paraId="0FF7150A" w14:textId="77777777" w:rsidR="00E0197B" w:rsidRPr="00E0197B" w:rsidRDefault="00E0197B" w:rsidP="00E0197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33226318" w14:textId="0369DE14" w:rsidR="00E0197B" w:rsidRDefault="00E0197B" w:rsidP="00E0197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E0197B">
        <w:rPr>
          <w:rFonts w:asciiTheme="majorHAnsi" w:eastAsia="Times New Roman" w:hAnsiTheme="majorHAnsi" w:cs="Arial"/>
          <w:sz w:val="22"/>
          <w:szCs w:val="22"/>
        </w:rPr>
        <w:t>Having considered the Scheme’s specific circumstances, the Trustee’s overall investment policy is guided by the following objectives:</w:t>
      </w:r>
    </w:p>
    <w:p w14:paraId="0F79596B" w14:textId="77777777" w:rsidR="00E0197B" w:rsidRPr="00E0197B" w:rsidRDefault="00E0197B" w:rsidP="00E0197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49406B22" w14:textId="4B558740" w:rsidR="00E0197B" w:rsidRDefault="00E0197B" w:rsidP="00E0197B">
      <w:pPr>
        <w:numPr>
          <w:ilvl w:val="0"/>
          <w:numId w:val="37"/>
        </w:num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E0197B">
        <w:rPr>
          <w:rFonts w:asciiTheme="majorHAnsi" w:eastAsia="Times New Roman" w:hAnsiTheme="majorHAnsi" w:cs="Arial"/>
          <w:sz w:val="22"/>
          <w:szCs w:val="22"/>
        </w:rPr>
        <w:t xml:space="preserve">To ensure all obligations to the beneficiaries of the Scheme are met in a timely manner; </w:t>
      </w:r>
    </w:p>
    <w:p w14:paraId="2B3270C7" w14:textId="77777777" w:rsidR="00E0197B" w:rsidRPr="00E0197B" w:rsidRDefault="00E0197B" w:rsidP="00E0197B">
      <w:pPr>
        <w:tabs>
          <w:tab w:val="left" w:pos="864"/>
          <w:tab w:val="left" w:pos="1152"/>
          <w:tab w:val="left" w:pos="1728"/>
          <w:tab w:val="left" w:pos="7776"/>
          <w:tab w:val="left" w:pos="8640"/>
        </w:tabs>
        <w:overflowPunct w:val="0"/>
        <w:autoSpaceDE w:val="0"/>
        <w:autoSpaceDN w:val="0"/>
        <w:adjustRightInd w:val="0"/>
        <w:spacing w:line="240" w:lineRule="exact"/>
        <w:ind w:left="720" w:right="144"/>
        <w:textAlignment w:val="baseline"/>
        <w:rPr>
          <w:rFonts w:asciiTheme="majorHAnsi" w:eastAsia="Times New Roman" w:hAnsiTheme="majorHAnsi" w:cs="Arial"/>
          <w:sz w:val="22"/>
          <w:szCs w:val="22"/>
        </w:rPr>
      </w:pPr>
    </w:p>
    <w:p w14:paraId="475AC1E8" w14:textId="37B2EE04" w:rsidR="00E0197B" w:rsidRDefault="00E0197B" w:rsidP="00E0197B">
      <w:pPr>
        <w:numPr>
          <w:ilvl w:val="0"/>
          <w:numId w:val="37"/>
        </w:num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E0197B">
        <w:rPr>
          <w:rFonts w:asciiTheme="majorHAnsi" w:eastAsia="Times New Roman" w:hAnsiTheme="majorHAnsi" w:cs="Arial"/>
          <w:sz w:val="22"/>
          <w:szCs w:val="22"/>
        </w:rPr>
        <w:t>To invest the Scheme’s assets appropriately to run the Scheme on a low risk basis to</w:t>
      </w:r>
      <w:r w:rsidR="00FF2422">
        <w:rPr>
          <w:rFonts w:asciiTheme="majorHAnsi" w:eastAsia="Times New Roman" w:hAnsiTheme="majorHAnsi" w:cs="Arial"/>
          <w:sz w:val="22"/>
          <w:szCs w:val="22"/>
        </w:rPr>
        <w:t xml:space="preserve"> lessen funding level</w:t>
      </w:r>
      <w:r w:rsidRPr="00E0197B">
        <w:rPr>
          <w:rFonts w:asciiTheme="majorHAnsi" w:eastAsia="Times New Roman" w:hAnsiTheme="majorHAnsi" w:cs="Arial"/>
          <w:sz w:val="22"/>
          <w:szCs w:val="22"/>
        </w:rPr>
        <w:t xml:space="preserve"> volatility and</w:t>
      </w:r>
      <w:r w:rsidR="00FF2422">
        <w:rPr>
          <w:rFonts w:asciiTheme="majorHAnsi" w:eastAsia="Times New Roman" w:hAnsiTheme="majorHAnsi" w:cs="Arial"/>
          <w:sz w:val="22"/>
          <w:szCs w:val="22"/>
        </w:rPr>
        <w:t xml:space="preserve"> to reduce</w:t>
      </w:r>
      <w:r w:rsidRPr="00E0197B">
        <w:rPr>
          <w:rFonts w:asciiTheme="majorHAnsi" w:eastAsia="Times New Roman" w:hAnsiTheme="majorHAnsi" w:cs="Arial"/>
          <w:sz w:val="22"/>
          <w:szCs w:val="22"/>
        </w:rPr>
        <w:t xml:space="preserve"> the likelihood of placing any reliance on the Sponsor in the </w:t>
      </w:r>
      <w:r w:rsidRPr="00E0197B">
        <w:rPr>
          <w:rFonts w:asciiTheme="majorHAnsi" w:eastAsia="Times New Roman" w:hAnsiTheme="majorHAnsi" w:cs="Arial"/>
          <w:b/>
          <w:sz w:val="22"/>
          <w:szCs w:val="22"/>
        </w:rPr>
        <w:t>short-term</w:t>
      </w:r>
      <w:r w:rsidRPr="00E0197B">
        <w:rPr>
          <w:rFonts w:asciiTheme="majorHAnsi" w:eastAsia="Times New Roman" w:hAnsiTheme="majorHAnsi" w:cs="Arial"/>
          <w:sz w:val="22"/>
          <w:szCs w:val="22"/>
        </w:rPr>
        <w:t>; and</w:t>
      </w:r>
    </w:p>
    <w:p w14:paraId="40E7ECE2" w14:textId="77777777" w:rsidR="00E0197B" w:rsidRPr="00E0197B" w:rsidRDefault="00E0197B" w:rsidP="00E0197B">
      <w:pPr>
        <w:tabs>
          <w:tab w:val="left" w:pos="864"/>
          <w:tab w:val="left" w:pos="1152"/>
          <w:tab w:val="left" w:pos="1728"/>
          <w:tab w:val="left" w:pos="7776"/>
          <w:tab w:val="left" w:pos="8640"/>
        </w:tabs>
        <w:overflowPunct w:val="0"/>
        <w:autoSpaceDE w:val="0"/>
        <w:autoSpaceDN w:val="0"/>
        <w:adjustRightInd w:val="0"/>
        <w:spacing w:line="240" w:lineRule="exact"/>
        <w:ind w:left="720" w:right="144"/>
        <w:textAlignment w:val="baseline"/>
        <w:rPr>
          <w:rFonts w:asciiTheme="majorHAnsi" w:eastAsia="Times New Roman" w:hAnsiTheme="majorHAnsi" w:cs="Arial"/>
          <w:sz w:val="22"/>
          <w:szCs w:val="22"/>
        </w:rPr>
      </w:pPr>
    </w:p>
    <w:p w14:paraId="7FCDB0DA" w14:textId="36AAA736" w:rsidR="00E0197B" w:rsidRDefault="00E0197B" w:rsidP="00E0197B">
      <w:pPr>
        <w:numPr>
          <w:ilvl w:val="0"/>
          <w:numId w:val="37"/>
        </w:num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E0197B">
        <w:rPr>
          <w:rFonts w:asciiTheme="majorHAnsi" w:eastAsia="Times New Roman" w:hAnsiTheme="majorHAnsi" w:cs="Arial"/>
          <w:sz w:val="22"/>
          <w:szCs w:val="22"/>
        </w:rPr>
        <w:t xml:space="preserve">To achieve a degree of outperformance in the investment strategy relative to the liabilities’ basis in order </w:t>
      </w:r>
      <w:r w:rsidR="008B358D">
        <w:rPr>
          <w:rFonts w:asciiTheme="majorHAnsi" w:eastAsia="Times New Roman" w:hAnsiTheme="majorHAnsi" w:cs="Arial"/>
          <w:sz w:val="22"/>
          <w:szCs w:val="22"/>
        </w:rPr>
        <w:t xml:space="preserve">for the Scheme </w:t>
      </w:r>
      <w:r w:rsidRPr="00E0197B">
        <w:rPr>
          <w:rFonts w:asciiTheme="majorHAnsi" w:eastAsia="Times New Roman" w:hAnsiTheme="majorHAnsi" w:cs="Arial"/>
          <w:sz w:val="22"/>
          <w:szCs w:val="22"/>
        </w:rPr>
        <w:t>to progress</w:t>
      </w:r>
      <w:r w:rsidR="00FF2422">
        <w:rPr>
          <w:rFonts w:asciiTheme="majorHAnsi" w:eastAsia="Times New Roman" w:hAnsiTheme="majorHAnsi" w:cs="Arial"/>
          <w:sz w:val="22"/>
          <w:szCs w:val="22"/>
        </w:rPr>
        <w:t xml:space="preserve"> towards</w:t>
      </w:r>
      <w:r w:rsidR="00F7570A">
        <w:rPr>
          <w:rFonts w:asciiTheme="majorHAnsi" w:eastAsia="Times New Roman" w:hAnsiTheme="majorHAnsi" w:cs="Arial"/>
          <w:sz w:val="22"/>
          <w:szCs w:val="22"/>
        </w:rPr>
        <w:t xml:space="preserve"> being in a position to</w:t>
      </w:r>
      <w:r w:rsidR="00FF2422" w:rsidRPr="00E0197B">
        <w:rPr>
          <w:rFonts w:asciiTheme="majorHAnsi" w:eastAsia="Times New Roman" w:hAnsiTheme="majorHAnsi" w:cs="Arial"/>
          <w:sz w:val="22"/>
          <w:szCs w:val="22"/>
        </w:rPr>
        <w:t xml:space="preserve"> </w:t>
      </w:r>
      <w:r w:rsidRPr="00E0197B">
        <w:rPr>
          <w:rFonts w:asciiTheme="majorHAnsi" w:eastAsia="Times New Roman" w:hAnsiTheme="majorHAnsi" w:cs="Arial"/>
          <w:sz w:val="22"/>
          <w:szCs w:val="22"/>
        </w:rPr>
        <w:t xml:space="preserve">buyout in the </w:t>
      </w:r>
      <w:r w:rsidRPr="00E0197B">
        <w:rPr>
          <w:rFonts w:asciiTheme="majorHAnsi" w:eastAsia="Times New Roman" w:hAnsiTheme="majorHAnsi" w:cs="Arial"/>
          <w:b/>
          <w:sz w:val="22"/>
          <w:szCs w:val="22"/>
        </w:rPr>
        <w:t>long-term</w:t>
      </w:r>
      <w:r w:rsidRPr="00E0197B">
        <w:rPr>
          <w:rFonts w:asciiTheme="majorHAnsi" w:eastAsia="Times New Roman" w:hAnsiTheme="majorHAnsi" w:cs="Arial"/>
          <w:sz w:val="22"/>
          <w:szCs w:val="22"/>
        </w:rPr>
        <w:t>.</w:t>
      </w:r>
    </w:p>
    <w:p w14:paraId="5260B7A5" w14:textId="77777777" w:rsidR="00E0197B" w:rsidRPr="00E0197B" w:rsidRDefault="00E0197B" w:rsidP="00E0197B">
      <w:pPr>
        <w:tabs>
          <w:tab w:val="left" w:pos="864"/>
          <w:tab w:val="left" w:pos="1152"/>
          <w:tab w:val="left" w:pos="1728"/>
          <w:tab w:val="left" w:pos="7776"/>
          <w:tab w:val="left" w:pos="8640"/>
        </w:tabs>
        <w:overflowPunct w:val="0"/>
        <w:autoSpaceDE w:val="0"/>
        <w:autoSpaceDN w:val="0"/>
        <w:adjustRightInd w:val="0"/>
        <w:spacing w:line="240" w:lineRule="exact"/>
        <w:ind w:left="360" w:right="144"/>
        <w:textAlignment w:val="baseline"/>
        <w:rPr>
          <w:rFonts w:asciiTheme="majorHAnsi" w:eastAsia="Times New Roman" w:hAnsiTheme="majorHAnsi" w:cs="Arial"/>
          <w:sz w:val="22"/>
          <w:szCs w:val="22"/>
        </w:rPr>
      </w:pPr>
    </w:p>
    <w:p w14:paraId="0CF1834E" w14:textId="7200F1ED" w:rsidR="00FF2422" w:rsidRDefault="00FF2422" w:rsidP="00E0197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The Trustee is aware of the relationship that exists between the particular investment portfolio that is held and the level of funding of the Scheme’s liabilities at any time. The Trustee has obtained exposure to investments that it expects will meet the Scheme’s objectives as best as possible.</w:t>
      </w:r>
    </w:p>
    <w:p w14:paraId="65BDB591" w14:textId="294E0371" w:rsidR="004E1A80" w:rsidRDefault="00FF2422" w:rsidP="004B6234">
      <w:pPr>
        <w:rPr>
          <w:rFonts w:asciiTheme="majorHAnsi" w:eastAsia="Times New Roman" w:hAnsiTheme="majorHAnsi" w:cs="Arial"/>
          <w:sz w:val="22"/>
          <w:szCs w:val="22"/>
        </w:rPr>
      </w:pPr>
      <w:r>
        <w:rPr>
          <w:rFonts w:asciiTheme="majorHAnsi" w:eastAsia="Times New Roman" w:hAnsiTheme="majorHAnsi" w:cs="Arial"/>
          <w:sz w:val="22"/>
          <w:szCs w:val="22"/>
        </w:rPr>
        <w:br w:type="page"/>
      </w:r>
    </w:p>
    <w:p w14:paraId="594F2C51" w14:textId="0896ED25" w:rsidR="004E1A80" w:rsidRPr="00430AD2" w:rsidRDefault="004E1A80" w:rsidP="004E1A80">
      <w:pPr>
        <w:pStyle w:val="Heading1"/>
        <w:numPr>
          <w:ilvl w:val="0"/>
          <w:numId w:val="15"/>
        </w:numPr>
        <w:rPr>
          <w:b/>
          <w:color w:val="62B5E5" w:themeColor="accent3"/>
          <w:sz w:val="24"/>
          <w:szCs w:val="24"/>
          <w:lang w:val="en-US"/>
        </w:rPr>
      </w:pPr>
      <w:bookmarkStart w:id="11" w:name="_Toc93664899"/>
      <w:r w:rsidRPr="00430AD2">
        <w:rPr>
          <w:b/>
          <w:color w:val="62B5E5" w:themeColor="accent3"/>
          <w:sz w:val="24"/>
          <w:szCs w:val="24"/>
          <w:lang w:val="en-US"/>
        </w:rPr>
        <w:lastRenderedPageBreak/>
        <w:t>Choosing Investments</w:t>
      </w:r>
      <w:bookmarkEnd w:id="11"/>
    </w:p>
    <w:p w14:paraId="0B2400C0" w14:textId="56E22886" w:rsidR="004E1A80" w:rsidRPr="00430AD2" w:rsidRDefault="004E1A80" w:rsidP="004E1A80">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430AD2">
        <w:rPr>
          <w:rFonts w:asciiTheme="majorHAnsi" w:eastAsia="Times New Roman" w:hAnsiTheme="majorHAnsi" w:cs="Arial"/>
          <w:sz w:val="22"/>
          <w:szCs w:val="22"/>
        </w:rPr>
        <w:t xml:space="preserve"> </w:t>
      </w:r>
    </w:p>
    <w:p w14:paraId="3D3973BF" w14:textId="526EF69A" w:rsidR="004E1A80" w:rsidRPr="00430AD2" w:rsidRDefault="004E1A80" w:rsidP="004E1A80">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430AD2">
        <w:rPr>
          <w:rFonts w:asciiTheme="majorHAnsi" w:eastAsia="Times New Roman" w:hAnsiTheme="majorHAnsi" w:cs="Arial"/>
          <w:sz w:val="22"/>
          <w:szCs w:val="22"/>
        </w:rPr>
        <w:t xml:space="preserve">The </w:t>
      </w:r>
      <w:r w:rsidR="00D158B5">
        <w:rPr>
          <w:rFonts w:asciiTheme="majorHAnsi" w:eastAsia="Times New Roman" w:hAnsiTheme="majorHAnsi" w:cs="Arial"/>
          <w:sz w:val="22"/>
          <w:szCs w:val="22"/>
        </w:rPr>
        <w:t>Trustee</w:t>
      </w:r>
      <w:r w:rsidRPr="00430AD2">
        <w:rPr>
          <w:rFonts w:asciiTheme="majorHAnsi" w:eastAsia="Times New Roman" w:hAnsiTheme="majorHAnsi" w:cs="Arial"/>
          <w:sz w:val="22"/>
          <w:szCs w:val="22"/>
        </w:rPr>
        <w:t>’</w:t>
      </w:r>
      <w:r w:rsidR="00FF2422">
        <w:rPr>
          <w:rFonts w:asciiTheme="majorHAnsi" w:eastAsia="Times New Roman" w:hAnsiTheme="majorHAnsi" w:cs="Arial"/>
          <w:sz w:val="22"/>
          <w:szCs w:val="22"/>
        </w:rPr>
        <w:t>s</w:t>
      </w:r>
      <w:r w:rsidRPr="00430AD2">
        <w:rPr>
          <w:rFonts w:asciiTheme="majorHAnsi" w:eastAsia="Times New Roman" w:hAnsiTheme="majorHAnsi" w:cs="Arial"/>
          <w:sz w:val="22"/>
          <w:szCs w:val="22"/>
        </w:rPr>
        <w:t xml:space="preserve"> policy is to set the overall investment target and then monitor the performance of the mangers against that target. In doing so, the </w:t>
      </w:r>
      <w:r w:rsidR="00D158B5">
        <w:rPr>
          <w:rFonts w:asciiTheme="majorHAnsi" w:eastAsia="Times New Roman" w:hAnsiTheme="majorHAnsi" w:cs="Arial"/>
          <w:sz w:val="22"/>
          <w:szCs w:val="22"/>
        </w:rPr>
        <w:t>Trustee</w:t>
      </w:r>
      <w:r w:rsidRPr="00430AD2">
        <w:rPr>
          <w:rFonts w:asciiTheme="majorHAnsi" w:eastAsia="Times New Roman" w:hAnsiTheme="majorHAnsi" w:cs="Arial"/>
          <w:sz w:val="22"/>
          <w:szCs w:val="22"/>
        </w:rPr>
        <w:t xml:space="preserve"> consider</w:t>
      </w:r>
      <w:r w:rsidR="003214F6">
        <w:rPr>
          <w:rFonts w:asciiTheme="majorHAnsi" w:eastAsia="Times New Roman" w:hAnsiTheme="majorHAnsi" w:cs="Arial"/>
          <w:sz w:val="22"/>
          <w:szCs w:val="22"/>
        </w:rPr>
        <w:t>s</w:t>
      </w:r>
      <w:r w:rsidRPr="00430AD2">
        <w:rPr>
          <w:rFonts w:asciiTheme="majorHAnsi" w:eastAsia="Times New Roman" w:hAnsiTheme="majorHAnsi" w:cs="Arial"/>
          <w:sz w:val="22"/>
          <w:szCs w:val="22"/>
        </w:rPr>
        <w:t xml:space="preserve"> the advice of </w:t>
      </w:r>
      <w:r w:rsidR="003214F6">
        <w:rPr>
          <w:rFonts w:asciiTheme="majorHAnsi" w:eastAsia="Times New Roman" w:hAnsiTheme="majorHAnsi" w:cs="Arial"/>
          <w:sz w:val="22"/>
          <w:szCs w:val="22"/>
        </w:rPr>
        <w:t>its</w:t>
      </w:r>
      <w:r w:rsidRPr="00430AD2">
        <w:rPr>
          <w:rFonts w:asciiTheme="majorHAnsi" w:eastAsia="Times New Roman" w:hAnsiTheme="majorHAnsi" w:cs="Arial"/>
          <w:sz w:val="22"/>
          <w:szCs w:val="22"/>
        </w:rPr>
        <w:t xml:space="preserve"> professional advisers, who they consider to be suitably qualified and experienced for this role.  </w:t>
      </w:r>
    </w:p>
    <w:p w14:paraId="349592D5" w14:textId="39D89EF9" w:rsidR="004E1A80" w:rsidRPr="00430AD2" w:rsidRDefault="004E1A80" w:rsidP="004E1A80">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465793AB" w14:textId="1884A6D8" w:rsidR="004E1A80" w:rsidRPr="00430AD2" w:rsidRDefault="004E1A80" w:rsidP="004E1A80">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430AD2">
        <w:rPr>
          <w:rFonts w:asciiTheme="majorHAnsi" w:eastAsia="Times New Roman" w:hAnsiTheme="majorHAnsi" w:cs="Arial"/>
          <w:sz w:val="22"/>
          <w:szCs w:val="22"/>
        </w:rPr>
        <w:t xml:space="preserve">The day-to-day management of the </w:t>
      </w:r>
      <w:r w:rsidR="00E0197B">
        <w:rPr>
          <w:rFonts w:asciiTheme="majorHAnsi" w:eastAsia="Times New Roman" w:hAnsiTheme="majorHAnsi" w:cs="Arial"/>
          <w:sz w:val="22"/>
          <w:szCs w:val="22"/>
        </w:rPr>
        <w:t>Scheme</w:t>
      </w:r>
      <w:r w:rsidRPr="00430AD2">
        <w:rPr>
          <w:rFonts w:asciiTheme="majorHAnsi" w:eastAsia="Times New Roman" w:hAnsiTheme="majorHAnsi" w:cs="Arial"/>
          <w:sz w:val="22"/>
          <w:szCs w:val="22"/>
        </w:rPr>
        <w:t xml:space="preserve">’s assets is delegated to </w:t>
      </w:r>
      <w:r w:rsidR="007E7E77">
        <w:rPr>
          <w:rFonts w:asciiTheme="majorHAnsi" w:eastAsia="Times New Roman" w:hAnsiTheme="majorHAnsi" w:cs="Arial"/>
          <w:sz w:val="22"/>
          <w:szCs w:val="22"/>
        </w:rPr>
        <w:t xml:space="preserve">the Scheme’s investment manager Legal &amp; General Investment Management (“LGIM”). LGIM is </w:t>
      </w:r>
      <w:r w:rsidRPr="00430AD2">
        <w:rPr>
          <w:rFonts w:asciiTheme="majorHAnsi" w:eastAsia="Times New Roman" w:hAnsiTheme="majorHAnsi" w:cs="Arial"/>
          <w:sz w:val="22"/>
          <w:szCs w:val="22"/>
        </w:rPr>
        <w:t>authorised and regulated by the Financial Conduct Authority</w:t>
      </w:r>
      <w:r w:rsidR="0065227F">
        <w:rPr>
          <w:rFonts w:asciiTheme="majorHAnsi" w:eastAsia="Times New Roman" w:hAnsiTheme="majorHAnsi" w:cs="Arial"/>
          <w:sz w:val="22"/>
          <w:szCs w:val="22"/>
        </w:rPr>
        <w:t>.</w:t>
      </w:r>
      <w:r w:rsidRPr="00430AD2">
        <w:rPr>
          <w:rFonts w:asciiTheme="majorHAnsi" w:eastAsia="Times New Roman" w:hAnsiTheme="majorHAnsi" w:cs="Arial"/>
          <w:sz w:val="22"/>
          <w:szCs w:val="22"/>
        </w:rPr>
        <w:t xml:space="preserve"> </w:t>
      </w:r>
    </w:p>
    <w:p w14:paraId="11CE2F21" w14:textId="5432E180" w:rsidR="004E1A80" w:rsidRPr="00430AD2" w:rsidRDefault="004E1A80" w:rsidP="004E1A80">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3F01D73F" w14:textId="2CAE01DB" w:rsidR="004E1A80" w:rsidRDefault="004E1A80" w:rsidP="004E1A80">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430AD2">
        <w:rPr>
          <w:rFonts w:asciiTheme="majorHAnsi" w:eastAsia="Times New Roman" w:hAnsiTheme="majorHAnsi" w:cs="Arial"/>
          <w:sz w:val="22"/>
          <w:szCs w:val="22"/>
        </w:rPr>
        <w:t xml:space="preserve">The </w:t>
      </w:r>
      <w:r w:rsidR="00D158B5">
        <w:rPr>
          <w:rFonts w:asciiTheme="majorHAnsi" w:eastAsia="Times New Roman" w:hAnsiTheme="majorHAnsi" w:cs="Arial"/>
          <w:sz w:val="22"/>
          <w:szCs w:val="22"/>
        </w:rPr>
        <w:t>Trustee</w:t>
      </w:r>
      <w:r w:rsidRPr="00430AD2">
        <w:rPr>
          <w:rFonts w:asciiTheme="majorHAnsi" w:eastAsia="Times New Roman" w:hAnsiTheme="majorHAnsi" w:cs="Arial"/>
          <w:sz w:val="22"/>
          <w:szCs w:val="22"/>
        </w:rPr>
        <w:t xml:space="preserve"> review</w:t>
      </w:r>
      <w:r w:rsidR="003214F6">
        <w:rPr>
          <w:rFonts w:asciiTheme="majorHAnsi" w:eastAsia="Times New Roman" w:hAnsiTheme="majorHAnsi" w:cs="Arial"/>
          <w:sz w:val="22"/>
          <w:szCs w:val="22"/>
        </w:rPr>
        <w:t>s</w:t>
      </w:r>
      <w:r w:rsidRPr="00430AD2">
        <w:rPr>
          <w:rFonts w:asciiTheme="majorHAnsi" w:eastAsia="Times New Roman" w:hAnsiTheme="majorHAnsi" w:cs="Arial"/>
          <w:sz w:val="22"/>
          <w:szCs w:val="22"/>
        </w:rPr>
        <w:t xml:space="preserve"> the appropriateness of the </w:t>
      </w:r>
      <w:r w:rsidR="00E0197B">
        <w:rPr>
          <w:rFonts w:asciiTheme="majorHAnsi" w:eastAsia="Times New Roman" w:hAnsiTheme="majorHAnsi" w:cs="Arial"/>
          <w:sz w:val="22"/>
          <w:szCs w:val="22"/>
        </w:rPr>
        <w:t>Scheme</w:t>
      </w:r>
      <w:r w:rsidRPr="00430AD2">
        <w:rPr>
          <w:rFonts w:asciiTheme="majorHAnsi" w:eastAsia="Times New Roman" w:hAnsiTheme="majorHAnsi" w:cs="Arial"/>
          <w:sz w:val="22"/>
          <w:szCs w:val="22"/>
        </w:rPr>
        <w:t xml:space="preserve">’s investment strategy on an ongoing basis. This review includes consideration of the continued competence of </w:t>
      </w:r>
      <w:r w:rsidR="00A720FC">
        <w:rPr>
          <w:rFonts w:asciiTheme="majorHAnsi" w:eastAsia="Times New Roman" w:hAnsiTheme="majorHAnsi" w:cs="Arial"/>
          <w:sz w:val="22"/>
          <w:szCs w:val="22"/>
        </w:rPr>
        <w:t>LGIM as the investment manager</w:t>
      </w:r>
      <w:r w:rsidRPr="00430AD2">
        <w:rPr>
          <w:rFonts w:asciiTheme="majorHAnsi" w:eastAsia="Times New Roman" w:hAnsiTheme="majorHAnsi" w:cs="Arial"/>
          <w:sz w:val="22"/>
          <w:szCs w:val="22"/>
        </w:rPr>
        <w:t xml:space="preserve"> with respect to performance within any guidelines set. The </w:t>
      </w:r>
      <w:r w:rsidR="00D158B5">
        <w:rPr>
          <w:rFonts w:asciiTheme="majorHAnsi" w:eastAsia="Times New Roman" w:hAnsiTheme="majorHAnsi" w:cs="Arial"/>
          <w:sz w:val="22"/>
          <w:szCs w:val="22"/>
        </w:rPr>
        <w:t>Trustee</w:t>
      </w:r>
      <w:r w:rsidRPr="00430AD2">
        <w:rPr>
          <w:rFonts w:asciiTheme="majorHAnsi" w:eastAsia="Times New Roman" w:hAnsiTheme="majorHAnsi" w:cs="Arial"/>
          <w:sz w:val="22"/>
          <w:szCs w:val="22"/>
        </w:rPr>
        <w:t xml:space="preserve"> will also consult the </w:t>
      </w:r>
      <w:r w:rsidR="00485251">
        <w:rPr>
          <w:rFonts w:asciiTheme="majorHAnsi" w:eastAsia="Times New Roman" w:hAnsiTheme="majorHAnsi" w:cs="Arial"/>
          <w:sz w:val="22"/>
          <w:szCs w:val="22"/>
        </w:rPr>
        <w:t>Principal Employer</w:t>
      </w:r>
      <w:r w:rsidRPr="00430AD2">
        <w:rPr>
          <w:rFonts w:asciiTheme="majorHAnsi" w:eastAsia="Times New Roman" w:hAnsiTheme="majorHAnsi" w:cs="Arial"/>
          <w:sz w:val="22"/>
          <w:szCs w:val="22"/>
        </w:rPr>
        <w:t xml:space="preserve"> before amending the investment strategy. </w:t>
      </w:r>
    </w:p>
    <w:p w14:paraId="7EAE3F3F" w14:textId="160C2A6E" w:rsidR="00111BB0" w:rsidRDefault="00111BB0" w:rsidP="004E1A80">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496744A6" w14:textId="4BF7A39B" w:rsidR="00DE754B" w:rsidRDefault="00DE754B" w:rsidP="00DE754B">
      <w:pPr>
        <w:pStyle w:val="Heading1"/>
        <w:numPr>
          <w:ilvl w:val="0"/>
          <w:numId w:val="15"/>
        </w:numPr>
        <w:rPr>
          <w:b/>
          <w:color w:val="62B5E5" w:themeColor="accent3"/>
          <w:sz w:val="24"/>
          <w:szCs w:val="24"/>
          <w:lang w:val="en-US"/>
        </w:rPr>
      </w:pPr>
      <w:bookmarkStart w:id="12" w:name="_Toc93664900"/>
      <w:r w:rsidRPr="00DE754B">
        <w:rPr>
          <w:b/>
          <w:color w:val="62B5E5" w:themeColor="accent3"/>
          <w:sz w:val="24"/>
          <w:szCs w:val="24"/>
          <w:lang w:val="en-US"/>
        </w:rPr>
        <w:t>Investment Strategy</w:t>
      </w:r>
      <w:bookmarkEnd w:id="12"/>
    </w:p>
    <w:p w14:paraId="764C5B1B" w14:textId="77777777" w:rsidR="00AA3A4E" w:rsidRPr="00AA3A4E" w:rsidRDefault="00AA3A4E" w:rsidP="00AA3A4E">
      <w:pPr>
        <w:rPr>
          <w:lang w:val="en-US"/>
        </w:rPr>
      </w:pPr>
    </w:p>
    <w:p w14:paraId="7DE1D1AD" w14:textId="4CF5E51E" w:rsidR="00DE754B" w:rsidRDefault="00AA3A4E"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AA3A4E">
        <w:rPr>
          <w:rFonts w:asciiTheme="majorHAnsi" w:eastAsia="Times New Roman" w:hAnsiTheme="majorHAnsi" w:cs="Arial"/>
          <w:sz w:val="22"/>
          <w:szCs w:val="22"/>
        </w:rPr>
        <w:t>When deciding on an appropriate investment strategy, the Trustee has taken into account discussions with regard to the Scheme’s funding approach, the covenant strength of the Sponsor, and wider circumstances of the Scheme.</w:t>
      </w:r>
    </w:p>
    <w:p w14:paraId="10639F8B" w14:textId="1F4F6777" w:rsidR="00AA3A4E" w:rsidRDefault="00AA3A4E"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51B02D6B" w14:textId="77A663D3" w:rsidR="00AA3A4E" w:rsidRDefault="00AA3A4E" w:rsidP="00AA3A4E">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AA3A4E">
        <w:rPr>
          <w:rFonts w:asciiTheme="majorHAnsi" w:eastAsia="Times New Roman" w:hAnsiTheme="majorHAnsi" w:cs="Arial"/>
          <w:sz w:val="22"/>
          <w:szCs w:val="22"/>
        </w:rPr>
        <w:t>The Scheme’s assets are invested in a diversified portfolio comprising:</w:t>
      </w:r>
    </w:p>
    <w:p w14:paraId="50122C9A" w14:textId="77777777" w:rsidR="00AA3A4E" w:rsidRPr="00AA3A4E" w:rsidRDefault="00AA3A4E" w:rsidP="00AA3A4E">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6ECB454C" w14:textId="0C6F0A94" w:rsidR="00AA3A4E" w:rsidRPr="00AA3A4E" w:rsidRDefault="00AA3A4E" w:rsidP="00AA3A4E">
      <w:pPr>
        <w:numPr>
          <w:ilvl w:val="0"/>
          <w:numId w:val="37"/>
        </w:num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A</w:t>
      </w:r>
      <w:r w:rsidRPr="00AA3A4E">
        <w:rPr>
          <w:rFonts w:asciiTheme="majorHAnsi" w:eastAsia="Times New Roman" w:hAnsiTheme="majorHAnsi" w:cs="Arial"/>
          <w:sz w:val="22"/>
          <w:szCs w:val="22"/>
        </w:rPr>
        <w:t xml:space="preserve"> liability driven investment (“LDI”) por</w:t>
      </w:r>
      <w:r>
        <w:rPr>
          <w:rFonts w:asciiTheme="majorHAnsi" w:eastAsia="Times New Roman" w:hAnsiTheme="majorHAnsi" w:cs="Arial"/>
          <w:sz w:val="22"/>
          <w:szCs w:val="22"/>
        </w:rPr>
        <w:t>tfolio which</w:t>
      </w:r>
      <w:r w:rsidR="005A0409">
        <w:rPr>
          <w:rFonts w:asciiTheme="majorHAnsi" w:eastAsia="Times New Roman" w:hAnsiTheme="majorHAnsi" w:cs="Arial"/>
          <w:sz w:val="22"/>
          <w:szCs w:val="22"/>
        </w:rPr>
        <w:t>, along with the buy and maintain credit portfolio,</w:t>
      </w:r>
      <w:r>
        <w:rPr>
          <w:rFonts w:asciiTheme="majorHAnsi" w:eastAsia="Times New Roman" w:hAnsiTheme="majorHAnsi" w:cs="Arial"/>
          <w:sz w:val="22"/>
          <w:szCs w:val="22"/>
        </w:rPr>
        <w:t xml:space="preserve"> aims to hedge </w:t>
      </w:r>
      <w:r w:rsidR="00844013">
        <w:rPr>
          <w:rFonts w:asciiTheme="majorHAnsi" w:eastAsia="Times New Roman" w:hAnsiTheme="majorHAnsi" w:cs="Arial"/>
          <w:sz w:val="22"/>
          <w:szCs w:val="22"/>
        </w:rPr>
        <w:t>100% of the</w:t>
      </w:r>
      <w:r w:rsidRPr="00AA3A4E">
        <w:rPr>
          <w:rFonts w:asciiTheme="majorHAnsi" w:eastAsia="Times New Roman" w:hAnsiTheme="majorHAnsi" w:cs="Arial"/>
          <w:sz w:val="22"/>
          <w:szCs w:val="22"/>
        </w:rPr>
        <w:t xml:space="preserve"> interest rate and inflation exposure inherent within the Scheme’s liabilities</w:t>
      </w:r>
      <w:r w:rsidR="00844013">
        <w:rPr>
          <w:rFonts w:asciiTheme="majorHAnsi" w:eastAsia="Times New Roman" w:hAnsiTheme="majorHAnsi" w:cs="Arial"/>
          <w:sz w:val="22"/>
          <w:szCs w:val="22"/>
        </w:rPr>
        <w:t xml:space="preserve"> on the low-risk gilts+0.5% p.a. basis. The aim of this is to minimise funding level volatility on the low-risk basis from movements in interest rates and inflation expectations.</w:t>
      </w:r>
    </w:p>
    <w:p w14:paraId="5B92218F" w14:textId="77777777" w:rsidR="00AA3A4E" w:rsidRPr="00AA3A4E" w:rsidRDefault="00AA3A4E" w:rsidP="00AA3A4E">
      <w:pPr>
        <w:tabs>
          <w:tab w:val="left" w:pos="864"/>
          <w:tab w:val="left" w:pos="1152"/>
          <w:tab w:val="left" w:pos="1728"/>
          <w:tab w:val="left" w:pos="7776"/>
          <w:tab w:val="left" w:pos="8640"/>
        </w:tabs>
        <w:overflowPunct w:val="0"/>
        <w:autoSpaceDE w:val="0"/>
        <w:autoSpaceDN w:val="0"/>
        <w:adjustRightInd w:val="0"/>
        <w:spacing w:line="240" w:lineRule="exact"/>
        <w:ind w:left="720" w:right="144"/>
        <w:textAlignment w:val="baseline"/>
        <w:rPr>
          <w:rFonts w:asciiTheme="majorHAnsi" w:eastAsia="Times New Roman" w:hAnsiTheme="majorHAnsi" w:cs="Arial"/>
          <w:sz w:val="22"/>
          <w:szCs w:val="22"/>
        </w:rPr>
      </w:pPr>
    </w:p>
    <w:p w14:paraId="072E763D" w14:textId="1AF58AF6" w:rsidR="00AA3A4E" w:rsidRPr="00AA3A4E" w:rsidRDefault="00AA3A4E" w:rsidP="00AA3A4E">
      <w:pPr>
        <w:numPr>
          <w:ilvl w:val="0"/>
          <w:numId w:val="37"/>
        </w:num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A</w:t>
      </w:r>
      <w:r w:rsidRPr="00AA3A4E">
        <w:rPr>
          <w:rFonts w:asciiTheme="majorHAnsi" w:eastAsia="Times New Roman" w:hAnsiTheme="majorHAnsi" w:cs="Arial"/>
          <w:sz w:val="22"/>
          <w:szCs w:val="22"/>
        </w:rPr>
        <w:t xml:space="preserve"> buy and maintain credit portfolio to </w:t>
      </w:r>
      <w:r w:rsidR="005A0409">
        <w:rPr>
          <w:rFonts w:asciiTheme="majorHAnsi" w:eastAsia="Times New Roman" w:hAnsiTheme="majorHAnsi" w:cs="Arial"/>
          <w:sz w:val="22"/>
          <w:szCs w:val="22"/>
        </w:rPr>
        <w:t>contribute to the</w:t>
      </w:r>
      <w:r w:rsidRPr="00AA3A4E">
        <w:rPr>
          <w:rFonts w:asciiTheme="majorHAnsi" w:eastAsia="Times New Roman" w:hAnsiTheme="majorHAnsi" w:cs="Arial"/>
          <w:sz w:val="22"/>
          <w:szCs w:val="22"/>
        </w:rPr>
        <w:t xml:space="preserve"> interest rate hedging</w:t>
      </w:r>
      <w:r w:rsidR="005A0409">
        <w:rPr>
          <w:rFonts w:asciiTheme="majorHAnsi" w:eastAsia="Times New Roman" w:hAnsiTheme="majorHAnsi" w:cs="Arial"/>
          <w:sz w:val="22"/>
          <w:szCs w:val="22"/>
        </w:rPr>
        <w:t>, deliver a return in excess of gilts</w:t>
      </w:r>
      <w:r w:rsidRPr="00AA3A4E">
        <w:rPr>
          <w:rFonts w:asciiTheme="majorHAnsi" w:eastAsia="Times New Roman" w:hAnsiTheme="majorHAnsi" w:cs="Arial"/>
          <w:sz w:val="22"/>
          <w:szCs w:val="22"/>
        </w:rPr>
        <w:t xml:space="preserve"> and generate cashflow in support of the payment of benefit cashflows</w:t>
      </w:r>
      <w:r w:rsidR="005A0409">
        <w:rPr>
          <w:rFonts w:asciiTheme="majorHAnsi" w:eastAsia="Times New Roman" w:hAnsiTheme="majorHAnsi" w:cs="Arial"/>
          <w:sz w:val="22"/>
          <w:szCs w:val="22"/>
        </w:rPr>
        <w:t>.</w:t>
      </w:r>
    </w:p>
    <w:p w14:paraId="596C5104" w14:textId="77777777" w:rsidR="00AA3A4E" w:rsidRPr="00AA3A4E" w:rsidRDefault="00AA3A4E" w:rsidP="00AA3A4E">
      <w:pPr>
        <w:tabs>
          <w:tab w:val="left" w:pos="864"/>
          <w:tab w:val="left" w:pos="1152"/>
          <w:tab w:val="left" w:pos="1728"/>
          <w:tab w:val="left" w:pos="7776"/>
          <w:tab w:val="left" w:pos="8640"/>
        </w:tabs>
        <w:overflowPunct w:val="0"/>
        <w:autoSpaceDE w:val="0"/>
        <w:autoSpaceDN w:val="0"/>
        <w:adjustRightInd w:val="0"/>
        <w:spacing w:line="240" w:lineRule="exact"/>
        <w:ind w:left="720" w:right="144"/>
        <w:textAlignment w:val="baseline"/>
        <w:rPr>
          <w:rFonts w:asciiTheme="majorHAnsi" w:eastAsia="Times New Roman" w:hAnsiTheme="majorHAnsi" w:cs="Arial"/>
          <w:sz w:val="22"/>
          <w:szCs w:val="22"/>
        </w:rPr>
      </w:pPr>
    </w:p>
    <w:p w14:paraId="1C7ABEEE" w14:textId="58E0C5E0" w:rsidR="00AA3A4E" w:rsidRPr="00AA3A4E" w:rsidRDefault="00AA3A4E" w:rsidP="00AA3A4E">
      <w:pPr>
        <w:numPr>
          <w:ilvl w:val="0"/>
          <w:numId w:val="37"/>
        </w:num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A</w:t>
      </w:r>
      <w:r w:rsidRPr="00AA3A4E">
        <w:rPr>
          <w:rFonts w:asciiTheme="majorHAnsi" w:eastAsia="Times New Roman" w:hAnsiTheme="majorHAnsi" w:cs="Arial"/>
          <w:sz w:val="22"/>
          <w:szCs w:val="22"/>
        </w:rPr>
        <w:t xml:space="preserve">n allocation to global equities to provide </w:t>
      </w:r>
      <w:r>
        <w:rPr>
          <w:rFonts w:asciiTheme="majorHAnsi" w:eastAsia="Times New Roman" w:hAnsiTheme="majorHAnsi" w:cs="Arial"/>
          <w:sz w:val="22"/>
          <w:szCs w:val="22"/>
        </w:rPr>
        <w:t>a degree of outperformance verse</w:t>
      </w:r>
      <w:r w:rsidRPr="00AA3A4E">
        <w:rPr>
          <w:rFonts w:asciiTheme="majorHAnsi" w:eastAsia="Times New Roman" w:hAnsiTheme="majorHAnsi" w:cs="Arial"/>
          <w:sz w:val="22"/>
          <w:szCs w:val="22"/>
        </w:rPr>
        <w:t>s the Scheme’s liabilities</w:t>
      </w:r>
      <w:r w:rsidR="003214F6">
        <w:rPr>
          <w:rFonts w:asciiTheme="majorHAnsi" w:eastAsia="Times New Roman" w:hAnsiTheme="majorHAnsi" w:cs="Arial"/>
          <w:sz w:val="22"/>
          <w:szCs w:val="22"/>
        </w:rPr>
        <w:t>.</w:t>
      </w:r>
    </w:p>
    <w:p w14:paraId="07D52AEF" w14:textId="4AA23117" w:rsidR="003214F6" w:rsidRDefault="003214F6" w:rsidP="004B6234">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129DB5DD" w14:textId="05818F76" w:rsidR="003214F6" w:rsidRPr="00911F33" w:rsidRDefault="003214F6" w:rsidP="00911F33">
      <w:pPr>
        <w:pStyle w:val="Normalplus"/>
        <w:widowControl/>
        <w:spacing w:after="240"/>
        <w:rPr>
          <w:rFonts w:asciiTheme="minorHAnsi" w:hAnsiTheme="minorHAnsi" w:cs="Times New Roman"/>
          <w:sz w:val="22"/>
          <w:szCs w:val="22"/>
        </w:rPr>
      </w:pPr>
      <w:r w:rsidRPr="00C618A6">
        <w:rPr>
          <w:rFonts w:asciiTheme="minorHAnsi" w:hAnsiTheme="minorHAnsi" w:cs="Times New Roman"/>
          <w:sz w:val="22"/>
          <w:szCs w:val="22"/>
        </w:rPr>
        <w:t xml:space="preserve">Over the </w:t>
      </w:r>
      <w:r w:rsidRPr="00C618A6">
        <w:rPr>
          <w:rFonts w:asciiTheme="minorHAnsi" w:hAnsiTheme="minorHAnsi" w:cs="Times New Roman"/>
          <w:b/>
          <w:bCs/>
          <w:sz w:val="22"/>
          <w:szCs w:val="22"/>
        </w:rPr>
        <w:t>medium term</w:t>
      </w:r>
      <w:r>
        <w:rPr>
          <w:rFonts w:asciiTheme="minorHAnsi" w:hAnsiTheme="minorHAnsi" w:cs="Times New Roman"/>
          <w:sz w:val="22"/>
          <w:szCs w:val="22"/>
        </w:rPr>
        <w:t>, the Trustee will monitor</w:t>
      </w:r>
      <w:r w:rsidRPr="00C618A6">
        <w:rPr>
          <w:rFonts w:asciiTheme="minorHAnsi" w:hAnsiTheme="minorHAnsi" w:cs="Times New Roman"/>
          <w:sz w:val="22"/>
          <w:szCs w:val="22"/>
        </w:rPr>
        <w:t xml:space="preserve"> opportunities to</w:t>
      </w:r>
      <w:r>
        <w:rPr>
          <w:rFonts w:asciiTheme="minorHAnsi" w:hAnsiTheme="minorHAnsi" w:cs="Times New Roman"/>
          <w:sz w:val="22"/>
          <w:szCs w:val="22"/>
        </w:rPr>
        <w:t xml:space="preserve"> diversify</w:t>
      </w:r>
      <w:r w:rsidRPr="00C618A6">
        <w:rPr>
          <w:rFonts w:asciiTheme="minorHAnsi" w:hAnsiTheme="minorHAnsi" w:cs="Times New Roman"/>
          <w:sz w:val="22"/>
          <w:szCs w:val="22"/>
        </w:rPr>
        <w:t xml:space="preserve"> </w:t>
      </w:r>
      <w:r>
        <w:rPr>
          <w:rFonts w:asciiTheme="minorHAnsi" w:hAnsiTheme="minorHAnsi" w:cs="Times New Roman"/>
          <w:sz w:val="22"/>
          <w:szCs w:val="22"/>
        </w:rPr>
        <w:t xml:space="preserve">the Scheme’s return seeking asset portfolio in order to </w:t>
      </w:r>
      <w:r w:rsidRPr="00C618A6">
        <w:rPr>
          <w:rFonts w:asciiTheme="minorHAnsi" w:hAnsiTheme="minorHAnsi" w:cs="Times New Roman"/>
          <w:sz w:val="22"/>
          <w:szCs w:val="22"/>
        </w:rPr>
        <w:t xml:space="preserve">reduce the level of risk associated with the investment strategy. </w:t>
      </w:r>
    </w:p>
    <w:p w14:paraId="1EAD8D87" w14:textId="4E498590" w:rsidR="00AA3A4E" w:rsidRDefault="00AA3A4E" w:rsidP="00AA3A4E">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AA3A4E">
        <w:rPr>
          <w:rFonts w:asciiTheme="majorHAnsi" w:eastAsia="Times New Roman" w:hAnsiTheme="majorHAnsi" w:cs="Arial"/>
          <w:sz w:val="22"/>
          <w:szCs w:val="22"/>
        </w:rPr>
        <w:t>The Trustee has agreed the strategic benchmark asset allocation as set out in the table below</w:t>
      </w:r>
      <w:r>
        <w:rPr>
          <w:rFonts w:asciiTheme="majorHAnsi" w:eastAsia="Times New Roman" w:hAnsiTheme="majorHAnsi" w:cs="Arial"/>
          <w:sz w:val="22"/>
          <w:szCs w:val="22"/>
        </w:rPr>
        <w:t>.</w:t>
      </w:r>
    </w:p>
    <w:p w14:paraId="7595BBA0" w14:textId="64B8CEE0" w:rsidR="00AA3A4E" w:rsidRDefault="00AA3A4E" w:rsidP="00AA3A4E">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tbl>
      <w:tblPr>
        <w:tblStyle w:val="TableGrid"/>
        <w:tblW w:w="9067" w:type="dxa"/>
        <w:jc w:val="center"/>
        <w:tblLook w:val="04A0" w:firstRow="1" w:lastRow="0" w:firstColumn="1" w:lastColumn="0" w:noHBand="0" w:noVBand="1"/>
      </w:tblPr>
      <w:tblGrid>
        <w:gridCol w:w="3256"/>
        <w:gridCol w:w="3969"/>
        <w:gridCol w:w="1842"/>
      </w:tblGrid>
      <w:tr w:rsidR="004B7C88" w:rsidRPr="00AA3A4E" w14:paraId="02FD1733" w14:textId="02A50400" w:rsidTr="005978F4">
        <w:trPr>
          <w:trHeight w:val="500"/>
          <w:jc w:val="center"/>
        </w:trPr>
        <w:tc>
          <w:tcPr>
            <w:tcW w:w="32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453556A" w14:textId="77777777" w:rsidR="004B7C88" w:rsidRPr="00AA3A4E" w:rsidRDefault="004B7C88" w:rsidP="00AA3A4E">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b/>
                <w:sz w:val="22"/>
                <w:szCs w:val="22"/>
              </w:rPr>
            </w:pPr>
            <w:r w:rsidRPr="00AA3A4E">
              <w:rPr>
                <w:rFonts w:asciiTheme="majorHAnsi" w:eastAsia="Times New Roman" w:hAnsiTheme="majorHAnsi" w:cs="Arial"/>
                <w:b/>
                <w:sz w:val="22"/>
                <w:szCs w:val="22"/>
              </w:rPr>
              <w:t>Asset Class</w:t>
            </w:r>
          </w:p>
        </w:tc>
        <w:tc>
          <w:tcPr>
            <w:tcW w:w="396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D43E8D" w14:textId="21F54B04" w:rsidR="004B7C88" w:rsidRPr="00AA3A4E" w:rsidRDefault="004B7C88" w:rsidP="00B34524">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b/>
                <w:sz w:val="22"/>
                <w:szCs w:val="22"/>
              </w:rPr>
            </w:pPr>
            <w:r>
              <w:rPr>
                <w:rFonts w:asciiTheme="majorHAnsi" w:eastAsia="Times New Roman" w:hAnsiTheme="majorHAnsi" w:cs="Arial"/>
                <w:b/>
                <w:sz w:val="22"/>
                <w:szCs w:val="22"/>
              </w:rPr>
              <w:t>Fund</w:t>
            </w:r>
          </w:p>
        </w:tc>
        <w:tc>
          <w:tcPr>
            <w:tcW w:w="184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C00A6A3" w14:textId="6CE6082B" w:rsidR="004B7C88" w:rsidRPr="00AA3A4E" w:rsidRDefault="004B7C88" w:rsidP="001A1FC9">
            <w:pPr>
              <w:tabs>
                <w:tab w:val="left" w:pos="864"/>
                <w:tab w:val="left" w:pos="1152"/>
                <w:tab w:val="left" w:pos="1728"/>
                <w:tab w:val="left" w:pos="7776"/>
                <w:tab w:val="left" w:pos="8640"/>
              </w:tabs>
              <w:overflowPunct w:val="0"/>
              <w:autoSpaceDE w:val="0"/>
              <w:autoSpaceDN w:val="0"/>
              <w:adjustRightInd w:val="0"/>
              <w:spacing w:line="240" w:lineRule="exact"/>
              <w:ind w:right="144"/>
              <w:jc w:val="center"/>
              <w:textAlignment w:val="baseline"/>
              <w:rPr>
                <w:rFonts w:asciiTheme="majorHAnsi" w:eastAsia="Times New Roman" w:hAnsiTheme="majorHAnsi" w:cs="Arial"/>
                <w:b/>
                <w:sz w:val="22"/>
                <w:szCs w:val="22"/>
              </w:rPr>
            </w:pPr>
            <w:r w:rsidRPr="00AA3A4E">
              <w:rPr>
                <w:rFonts w:asciiTheme="majorHAnsi" w:eastAsia="Times New Roman" w:hAnsiTheme="majorHAnsi" w:cs="Arial"/>
                <w:b/>
                <w:sz w:val="22"/>
                <w:szCs w:val="22"/>
              </w:rPr>
              <w:t>Benchmark</w:t>
            </w:r>
          </w:p>
          <w:p w14:paraId="5005A0F8" w14:textId="77777777" w:rsidR="004B7C88" w:rsidRPr="00AA3A4E" w:rsidRDefault="004B7C88" w:rsidP="001A1FC9">
            <w:pPr>
              <w:tabs>
                <w:tab w:val="left" w:pos="864"/>
                <w:tab w:val="left" w:pos="1152"/>
                <w:tab w:val="left" w:pos="1728"/>
                <w:tab w:val="left" w:pos="7776"/>
                <w:tab w:val="left" w:pos="8640"/>
              </w:tabs>
              <w:overflowPunct w:val="0"/>
              <w:autoSpaceDE w:val="0"/>
              <w:autoSpaceDN w:val="0"/>
              <w:adjustRightInd w:val="0"/>
              <w:spacing w:line="240" w:lineRule="exact"/>
              <w:ind w:right="144"/>
              <w:jc w:val="center"/>
              <w:textAlignment w:val="baseline"/>
              <w:rPr>
                <w:rFonts w:asciiTheme="majorHAnsi" w:eastAsia="Times New Roman" w:hAnsiTheme="majorHAnsi" w:cs="Arial"/>
                <w:b/>
                <w:sz w:val="22"/>
                <w:szCs w:val="22"/>
              </w:rPr>
            </w:pPr>
            <w:r w:rsidRPr="00AA3A4E">
              <w:rPr>
                <w:rFonts w:asciiTheme="majorHAnsi" w:eastAsia="Times New Roman" w:hAnsiTheme="majorHAnsi" w:cs="Arial"/>
                <w:b/>
                <w:sz w:val="22"/>
                <w:szCs w:val="22"/>
              </w:rPr>
              <w:t>(%)</w:t>
            </w:r>
          </w:p>
        </w:tc>
      </w:tr>
      <w:tr w:rsidR="004B7C88" w:rsidRPr="00AA3A4E" w14:paraId="4A817BCD" w14:textId="36817199" w:rsidTr="005978F4">
        <w:trPr>
          <w:trHeight w:val="250"/>
          <w:jc w:val="center"/>
        </w:trPr>
        <w:tc>
          <w:tcPr>
            <w:tcW w:w="3256" w:type="dxa"/>
            <w:tcBorders>
              <w:top w:val="single" w:sz="4" w:space="0" w:color="auto"/>
              <w:left w:val="single" w:sz="4" w:space="0" w:color="auto"/>
              <w:bottom w:val="single" w:sz="4" w:space="0" w:color="auto"/>
              <w:right w:val="single" w:sz="4" w:space="0" w:color="auto"/>
            </w:tcBorders>
          </w:tcPr>
          <w:p w14:paraId="426FAF7B" w14:textId="44C271E4" w:rsidR="004B7C88" w:rsidRPr="00AA3A4E" w:rsidRDefault="004B7C88" w:rsidP="005978F4">
            <w:pPr>
              <w:tabs>
                <w:tab w:val="left" w:pos="864"/>
                <w:tab w:val="left" w:pos="1152"/>
                <w:tab w:val="left" w:pos="1728"/>
                <w:tab w:val="left" w:pos="7776"/>
                <w:tab w:val="left" w:pos="8640"/>
              </w:tabs>
              <w:overflowPunct w:val="0"/>
              <w:autoSpaceDE w:val="0"/>
              <w:autoSpaceDN w:val="0"/>
              <w:adjustRightInd w:val="0"/>
              <w:spacing w:line="240" w:lineRule="exact"/>
              <w:textAlignment w:val="baseline"/>
              <w:rPr>
                <w:rFonts w:asciiTheme="majorHAnsi" w:eastAsia="Times New Roman" w:hAnsiTheme="majorHAnsi" w:cs="Arial"/>
                <w:sz w:val="22"/>
                <w:szCs w:val="22"/>
              </w:rPr>
            </w:pPr>
            <w:r w:rsidRPr="00AA3A4E">
              <w:rPr>
                <w:rFonts w:asciiTheme="majorHAnsi" w:eastAsia="Times New Roman" w:hAnsiTheme="majorHAnsi" w:cs="Arial"/>
                <w:sz w:val="22"/>
                <w:szCs w:val="22"/>
              </w:rPr>
              <w:t>L</w:t>
            </w:r>
            <w:r>
              <w:rPr>
                <w:rFonts w:asciiTheme="majorHAnsi" w:eastAsia="Times New Roman" w:hAnsiTheme="majorHAnsi" w:cs="Arial"/>
                <w:sz w:val="22"/>
                <w:szCs w:val="22"/>
              </w:rPr>
              <w:t>iability Driven Investment</w:t>
            </w:r>
            <w:r w:rsidRPr="00AA3A4E">
              <w:rPr>
                <w:rFonts w:asciiTheme="majorHAnsi" w:eastAsia="Times New Roman" w:hAnsiTheme="majorHAnsi" w:cs="Arial"/>
                <w:sz w:val="22"/>
                <w:szCs w:val="22"/>
              </w:rPr>
              <w:t xml:space="preserve"> </w:t>
            </w:r>
            <w:r>
              <w:rPr>
                <w:rFonts w:asciiTheme="majorHAnsi" w:eastAsia="Times New Roman" w:hAnsiTheme="majorHAnsi" w:cs="Arial"/>
                <w:sz w:val="22"/>
                <w:szCs w:val="22"/>
              </w:rPr>
              <w:t xml:space="preserve">(“LDI”) </w:t>
            </w:r>
            <w:r w:rsidRPr="00AA3A4E">
              <w:rPr>
                <w:rFonts w:asciiTheme="majorHAnsi" w:eastAsia="Times New Roman" w:hAnsiTheme="majorHAnsi" w:cs="Arial"/>
                <w:sz w:val="22"/>
                <w:szCs w:val="22"/>
              </w:rPr>
              <w:t>Portfolio</w:t>
            </w:r>
          </w:p>
        </w:tc>
        <w:tc>
          <w:tcPr>
            <w:tcW w:w="3969" w:type="dxa"/>
            <w:tcBorders>
              <w:top w:val="single" w:sz="4" w:space="0" w:color="auto"/>
              <w:left w:val="single" w:sz="4" w:space="0" w:color="auto"/>
              <w:bottom w:val="single" w:sz="4" w:space="0" w:color="auto"/>
              <w:right w:val="single" w:sz="4" w:space="0" w:color="auto"/>
            </w:tcBorders>
          </w:tcPr>
          <w:p w14:paraId="21312A37" w14:textId="4213F94B" w:rsidR="004B7C88" w:rsidRPr="00AA3A4E" w:rsidRDefault="004B7C88" w:rsidP="005978F4">
            <w:pPr>
              <w:tabs>
                <w:tab w:val="left" w:pos="864"/>
                <w:tab w:val="left" w:pos="1152"/>
                <w:tab w:val="left" w:pos="1728"/>
                <w:tab w:val="left" w:pos="7776"/>
                <w:tab w:val="left" w:pos="8640"/>
              </w:tabs>
              <w:overflowPunct w:val="0"/>
              <w:autoSpaceDE w:val="0"/>
              <w:autoSpaceDN w:val="0"/>
              <w:adjustRightInd w:val="0"/>
              <w:spacing w:line="240" w:lineRule="exact"/>
              <w:ind w:right="34"/>
              <w:textAlignment w:val="baseline"/>
              <w:rPr>
                <w:rFonts w:asciiTheme="majorHAnsi" w:eastAsia="Times New Roman" w:hAnsiTheme="majorHAnsi" w:cs="Arial"/>
                <w:sz w:val="22"/>
                <w:szCs w:val="22"/>
              </w:rPr>
            </w:pPr>
            <w:r>
              <w:rPr>
                <w:rFonts w:asciiTheme="majorHAnsi" w:eastAsia="Times New Roman" w:hAnsiTheme="majorHAnsi" w:cs="Arial"/>
                <w:color w:val="000000" w:themeColor="text1"/>
                <w:sz w:val="22"/>
                <w:szCs w:val="22"/>
              </w:rPr>
              <w:t xml:space="preserve">LGIM </w:t>
            </w:r>
            <w:r w:rsidRPr="004B6234">
              <w:rPr>
                <w:rFonts w:asciiTheme="majorHAnsi" w:eastAsia="Times New Roman" w:hAnsiTheme="majorHAnsi" w:cs="Arial"/>
                <w:color w:val="000000" w:themeColor="text1"/>
                <w:sz w:val="22"/>
                <w:szCs w:val="22"/>
              </w:rPr>
              <w:t xml:space="preserve">Matching Core/Matching Plus Fund Range </w:t>
            </w:r>
          </w:p>
        </w:tc>
        <w:tc>
          <w:tcPr>
            <w:tcW w:w="1842" w:type="dxa"/>
            <w:tcBorders>
              <w:top w:val="single" w:sz="4" w:space="0" w:color="auto"/>
              <w:left w:val="single" w:sz="4" w:space="0" w:color="auto"/>
              <w:bottom w:val="single" w:sz="4" w:space="0" w:color="auto"/>
              <w:right w:val="single" w:sz="4" w:space="0" w:color="auto"/>
            </w:tcBorders>
          </w:tcPr>
          <w:p w14:paraId="51ABE51D" w14:textId="3D2A2FDE" w:rsidR="004B7C88" w:rsidRPr="00AA3A4E" w:rsidRDefault="004B7C88" w:rsidP="001A1FC9">
            <w:pPr>
              <w:tabs>
                <w:tab w:val="left" w:pos="864"/>
                <w:tab w:val="left" w:pos="1152"/>
                <w:tab w:val="left" w:pos="1728"/>
                <w:tab w:val="left" w:pos="7776"/>
                <w:tab w:val="left" w:pos="8640"/>
              </w:tabs>
              <w:overflowPunct w:val="0"/>
              <w:autoSpaceDE w:val="0"/>
              <w:autoSpaceDN w:val="0"/>
              <w:adjustRightInd w:val="0"/>
              <w:spacing w:line="240" w:lineRule="exact"/>
              <w:ind w:right="144"/>
              <w:jc w:val="center"/>
              <w:textAlignment w:val="baseline"/>
              <w:rPr>
                <w:rFonts w:asciiTheme="majorHAnsi" w:eastAsia="Times New Roman" w:hAnsiTheme="majorHAnsi" w:cs="Arial"/>
                <w:sz w:val="22"/>
                <w:szCs w:val="22"/>
              </w:rPr>
            </w:pPr>
            <w:r>
              <w:rPr>
                <w:rFonts w:asciiTheme="majorHAnsi" w:eastAsia="Times New Roman" w:hAnsiTheme="majorHAnsi" w:cs="Arial"/>
                <w:sz w:val="22"/>
                <w:szCs w:val="22"/>
              </w:rPr>
              <w:t>45</w:t>
            </w:r>
          </w:p>
        </w:tc>
      </w:tr>
      <w:tr w:rsidR="004B7C88" w:rsidRPr="00AA3A4E" w14:paraId="7BA54E93" w14:textId="6EAFC7B1" w:rsidTr="005978F4">
        <w:trPr>
          <w:trHeight w:val="500"/>
          <w:jc w:val="center"/>
        </w:trPr>
        <w:tc>
          <w:tcPr>
            <w:tcW w:w="3256" w:type="dxa"/>
            <w:tcBorders>
              <w:top w:val="single" w:sz="4" w:space="0" w:color="auto"/>
              <w:left w:val="single" w:sz="4" w:space="0" w:color="auto"/>
              <w:bottom w:val="single" w:sz="4" w:space="0" w:color="auto"/>
              <w:right w:val="single" w:sz="4" w:space="0" w:color="auto"/>
            </w:tcBorders>
          </w:tcPr>
          <w:p w14:paraId="64774162" w14:textId="3E3258AC" w:rsidR="004B7C88" w:rsidRPr="00AA3A4E" w:rsidRDefault="004B7C88" w:rsidP="00AA3A4E">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AA3A4E">
              <w:rPr>
                <w:rFonts w:asciiTheme="majorHAnsi" w:eastAsia="Times New Roman" w:hAnsiTheme="majorHAnsi" w:cs="Arial"/>
                <w:sz w:val="22"/>
                <w:szCs w:val="22"/>
              </w:rPr>
              <w:t xml:space="preserve">Buy and </w:t>
            </w:r>
            <w:r>
              <w:rPr>
                <w:rFonts w:asciiTheme="majorHAnsi" w:eastAsia="Times New Roman" w:hAnsiTheme="majorHAnsi" w:cs="Arial"/>
                <w:sz w:val="22"/>
                <w:szCs w:val="22"/>
              </w:rPr>
              <w:t>M</w:t>
            </w:r>
            <w:r w:rsidRPr="00AA3A4E">
              <w:rPr>
                <w:rFonts w:asciiTheme="majorHAnsi" w:eastAsia="Times New Roman" w:hAnsiTheme="majorHAnsi" w:cs="Arial"/>
                <w:sz w:val="22"/>
                <w:szCs w:val="22"/>
              </w:rPr>
              <w:t xml:space="preserve">aintain </w:t>
            </w:r>
            <w:r>
              <w:rPr>
                <w:rFonts w:asciiTheme="majorHAnsi" w:eastAsia="Times New Roman" w:hAnsiTheme="majorHAnsi" w:cs="Arial"/>
                <w:sz w:val="22"/>
                <w:szCs w:val="22"/>
              </w:rPr>
              <w:t>C</w:t>
            </w:r>
            <w:r w:rsidRPr="00AA3A4E">
              <w:rPr>
                <w:rFonts w:asciiTheme="majorHAnsi" w:eastAsia="Times New Roman" w:hAnsiTheme="majorHAnsi" w:cs="Arial"/>
                <w:sz w:val="22"/>
                <w:szCs w:val="22"/>
              </w:rPr>
              <w:t>redit</w:t>
            </w:r>
          </w:p>
        </w:tc>
        <w:tc>
          <w:tcPr>
            <w:tcW w:w="3969" w:type="dxa"/>
            <w:tcBorders>
              <w:top w:val="single" w:sz="4" w:space="0" w:color="auto"/>
              <w:left w:val="single" w:sz="4" w:space="0" w:color="auto"/>
              <w:bottom w:val="single" w:sz="4" w:space="0" w:color="auto"/>
              <w:right w:val="single" w:sz="4" w:space="0" w:color="auto"/>
            </w:tcBorders>
          </w:tcPr>
          <w:p w14:paraId="3F4F9ED9" w14:textId="134F80B3" w:rsidR="004B7C88" w:rsidRPr="00AA3A4E" w:rsidRDefault="004B7C88" w:rsidP="005978F4">
            <w:pPr>
              <w:tabs>
                <w:tab w:val="left" w:pos="864"/>
                <w:tab w:val="left" w:pos="1152"/>
                <w:tab w:val="left" w:pos="1728"/>
                <w:tab w:val="left" w:pos="7776"/>
                <w:tab w:val="left" w:pos="8640"/>
              </w:tabs>
              <w:overflowPunct w:val="0"/>
              <w:autoSpaceDE w:val="0"/>
              <w:autoSpaceDN w:val="0"/>
              <w:adjustRightInd w:val="0"/>
              <w:spacing w:line="240" w:lineRule="exact"/>
              <w:ind w:right="37"/>
              <w:textAlignment w:val="baseline"/>
              <w:rPr>
                <w:rFonts w:asciiTheme="majorHAnsi" w:eastAsia="Times New Roman" w:hAnsiTheme="majorHAnsi" w:cs="Arial"/>
                <w:sz w:val="22"/>
                <w:szCs w:val="22"/>
              </w:rPr>
            </w:pPr>
            <w:r>
              <w:rPr>
                <w:rFonts w:asciiTheme="majorHAnsi" w:eastAsia="Times New Roman" w:hAnsiTheme="majorHAnsi" w:cs="Arial"/>
                <w:sz w:val="22"/>
                <w:szCs w:val="22"/>
              </w:rPr>
              <w:t xml:space="preserve">LGIM </w:t>
            </w:r>
            <w:r w:rsidRPr="001A1FC9">
              <w:rPr>
                <w:rFonts w:asciiTheme="majorHAnsi" w:eastAsia="Times New Roman" w:hAnsiTheme="majorHAnsi" w:cs="Arial"/>
                <w:sz w:val="22"/>
                <w:szCs w:val="22"/>
              </w:rPr>
              <w:t xml:space="preserve">Maturing Buy &amp; Maintain Credit Fund </w:t>
            </w:r>
            <w:r w:rsidR="00113524">
              <w:rPr>
                <w:rFonts w:asciiTheme="majorHAnsi" w:eastAsia="Times New Roman" w:hAnsiTheme="majorHAnsi" w:cs="Arial"/>
                <w:sz w:val="22"/>
                <w:szCs w:val="22"/>
              </w:rPr>
              <w:t>R</w:t>
            </w:r>
            <w:r w:rsidRPr="001A1FC9">
              <w:rPr>
                <w:rFonts w:asciiTheme="majorHAnsi" w:eastAsia="Times New Roman" w:hAnsiTheme="majorHAnsi" w:cs="Arial"/>
                <w:sz w:val="22"/>
                <w:szCs w:val="22"/>
              </w:rPr>
              <w:t>ange</w:t>
            </w:r>
          </w:p>
        </w:tc>
        <w:tc>
          <w:tcPr>
            <w:tcW w:w="1842" w:type="dxa"/>
            <w:tcBorders>
              <w:top w:val="single" w:sz="4" w:space="0" w:color="auto"/>
              <w:left w:val="single" w:sz="4" w:space="0" w:color="auto"/>
              <w:bottom w:val="single" w:sz="4" w:space="0" w:color="auto"/>
              <w:right w:val="single" w:sz="4" w:space="0" w:color="auto"/>
            </w:tcBorders>
          </w:tcPr>
          <w:p w14:paraId="4E144B9B" w14:textId="762D34CD" w:rsidR="004B7C88" w:rsidRPr="00AA3A4E" w:rsidRDefault="004B7C88" w:rsidP="001A1FC9">
            <w:pPr>
              <w:tabs>
                <w:tab w:val="left" w:pos="864"/>
                <w:tab w:val="left" w:pos="1152"/>
                <w:tab w:val="left" w:pos="1728"/>
                <w:tab w:val="left" w:pos="7776"/>
                <w:tab w:val="left" w:pos="8640"/>
              </w:tabs>
              <w:overflowPunct w:val="0"/>
              <w:autoSpaceDE w:val="0"/>
              <w:autoSpaceDN w:val="0"/>
              <w:adjustRightInd w:val="0"/>
              <w:spacing w:line="240" w:lineRule="exact"/>
              <w:ind w:right="144"/>
              <w:jc w:val="center"/>
              <w:textAlignment w:val="baseline"/>
              <w:rPr>
                <w:rFonts w:asciiTheme="majorHAnsi" w:eastAsia="Times New Roman" w:hAnsiTheme="majorHAnsi" w:cs="Arial"/>
                <w:sz w:val="22"/>
                <w:szCs w:val="22"/>
              </w:rPr>
            </w:pPr>
            <w:r w:rsidRPr="00AA3A4E">
              <w:rPr>
                <w:rFonts w:asciiTheme="majorHAnsi" w:eastAsia="Times New Roman" w:hAnsiTheme="majorHAnsi" w:cs="Arial"/>
                <w:sz w:val="22"/>
                <w:szCs w:val="22"/>
              </w:rPr>
              <w:t>12.5</w:t>
            </w:r>
          </w:p>
        </w:tc>
      </w:tr>
      <w:tr w:rsidR="004B7C88" w:rsidRPr="00AA3A4E" w14:paraId="3FF6F4D9" w14:textId="7CA47B29" w:rsidTr="005978F4">
        <w:trPr>
          <w:trHeight w:val="250"/>
          <w:jc w:val="center"/>
        </w:trPr>
        <w:tc>
          <w:tcPr>
            <w:tcW w:w="3256" w:type="dxa"/>
            <w:tcBorders>
              <w:top w:val="single" w:sz="4" w:space="0" w:color="auto"/>
              <w:left w:val="single" w:sz="4" w:space="0" w:color="auto"/>
              <w:bottom w:val="single" w:sz="4" w:space="0" w:color="auto"/>
              <w:right w:val="single" w:sz="4" w:space="0" w:color="auto"/>
            </w:tcBorders>
          </w:tcPr>
          <w:p w14:paraId="7874931A" w14:textId="2C809AA6" w:rsidR="004B7C88" w:rsidRPr="00AA3A4E" w:rsidRDefault="004B7C88">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AA3A4E">
              <w:rPr>
                <w:rFonts w:asciiTheme="majorHAnsi" w:eastAsia="Times New Roman" w:hAnsiTheme="majorHAnsi" w:cs="Arial"/>
                <w:sz w:val="22"/>
                <w:szCs w:val="22"/>
              </w:rPr>
              <w:t xml:space="preserve">Global </w:t>
            </w:r>
            <w:r>
              <w:rPr>
                <w:rFonts w:asciiTheme="majorHAnsi" w:eastAsia="Times New Roman" w:hAnsiTheme="majorHAnsi" w:cs="Arial"/>
                <w:sz w:val="22"/>
                <w:szCs w:val="22"/>
              </w:rPr>
              <w:t>E</w:t>
            </w:r>
            <w:r w:rsidRPr="00AA3A4E">
              <w:rPr>
                <w:rFonts w:asciiTheme="majorHAnsi" w:eastAsia="Times New Roman" w:hAnsiTheme="majorHAnsi" w:cs="Arial"/>
                <w:sz w:val="22"/>
                <w:szCs w:val="22"/>
              </w:rPr>
              <w:t>quities</w:t>
            </w:r>
          </w:p>
        </w:tc>
        <w:tc>
          <w:tcPr>
            <w:tcW w:w="3969" w:type="dxa"/>
            <w:tcBorders>
              <w:top w:val="single" w:sz="4" w:space="0" w:color="auto"/>
              <w:left w:val="single" w:sz="4" w:space="0" w:color="auto"/>
              <w:bottom w:val="single" w:sz="4" w:space="0" w:color="auto"/>
              <w:right w:val="single" w:sz="4" w:space="0" w:color="auto"/>
            </w:tcBorders>
          </w:tcPr>
          <w:p w14:paraId="3CBAF861" w14:textId="64FE8948" w:rsidR="004B7C88" w:rsidRPr="00AA3A4E" w:rsidRDefault="004B7C88" w:rsidP="005978F4">
            <w:pPr>
              <w:tabs>
                <w:tab w:val="left" w:pos="864"/>
                <w:tab w:val="left" w:pos="1152"/>
                <w:tab w:val="left" w:pos="1728"/>
                <w:tab w:val="left" w:pos="7776"/>
                <w:tab w:val="left" w:pos="8640"/>
              </w:tabs>
              <w:overflowPunct w:val="0"/>
              <w:autoSpaceDE w:val="0"/>
              <w:autoSpaceDN w:val="0"/>
              <w:adjustRightInd w:val="0"/>
              <w:spacing w:line="240" w:lineRule="exact"/>
              <w:ind w:right="32"/>
              <w:textAlignment w:val="baseline"/>
              <w:rPr>
                <w:rFonts w:asciiTheme="majorHAnsi" w:eastAsia="Times New Roman" w:hAnsiTheme="majorHAnsi" w:cs="Arial"/>
                <w:sz w:val="22"/>
                <w:szCs w:val="22"/>
              </w:rPr>
            </w:pPr>
            <w:r>
              <w:rPr>
                <w:rFonts w:asciiTheme="majorHAnsi" w:eastAsia="Times New Roman" w:hAnsiTheme="majorHAnsi" w:cs="Arial"/>
                <w:sz w:val="22"/>
                <w:szCs w:val="22"/>
              </w:rPr>
              <w:t xml:space="preserve">LGIM </w:t>
            </w:r>
            <w:r w:rsidR="00113524">
              <w:rPr>
                <w:rFonts w:asciiTheme="majorHAnsi" w:eastAsia="Times New Roman" w:hAnsiTheme="majorHAnsi" w:cs="Arial"/>
                <w:sz w:val="22"/>
                <w:szCs w:val="22"/>
              </w:rPr>
              <w:t>Future World Global Equity Index Fund</w:t>
            </w:r>
            <w:r w:rsidR="00724308">
              <w:rPr>
                <w:rFonts w:asciiTheme="majorHAnsi" w:eastAsia="Times New Roman" w:hAnsiTheme="majorHAnsi" w:cs="Arial"/>
                <w:sz w:val="22"/>
                <w:szCs w:val="22"/>
              </w:rPr>
              <w:t xml:space="preserve"> (GBP Hedged)</w:t>
            </w:r>
          </w:p>
        </w:tc>
        <w:tc>
          <w:tcPr>
            <w:tcW w:w="1842" w:type="dxa"/>
            <w:tcBorders>
              <w:top w:val="single" w:sz="4" w:space="0" w:color="auto"/>
              <w:left w:val="single" w:sz="4" w:space="0" w:color="auto"/>
              <w:bottom w:val="single" w:sz="4" w:space="0" w:color="auto"/>
              <w:right w:val="single" w:sz="4" w:space="0" w:color="auto"/>
            </w:tcBorders>
          </w:tcPr>
          <w:p w14:paraId="2B3C362C" w14:textId="6BDE158A" w:rsidR="004B7C88" w:rsidRPr="00AA3A4E" w:rsidRDefault="004B7C88" w:rsidP="001A1FC9">
            <w:pPr>
              <w:tabs>
                <w:tab w:val="left" w:pos="864"/>
                <w:tab w:val="left" w:pos="1152"/>
                <w:tab w:val="left" w:pos="1728"/>
                <w:tab w:val="left" w:pos="7776"/>
                <w:tab w:val="left" w:pos="8640"/>
              </w:tabs>
              <w:overflowPunct w:val="0"/>
              <w:autoSpaceDE w:val="0"/>
              <w:autoSpaceDN w:val="0"/>
              <w:adjustRightInd w:val="0"/>
              <w:spacing w:line="240" w:lineRule="exact"/>
              <w:ind w:right="144"/>
              <w:jc w:val="center"/>
              <w:textAlignment w:val="baseline"/>
              <w:rPr>
                <w:rFonts w:asciiTheme="majorHAnsi" w:eastAsia="Times New Roman" w:hAnsiTheme="majorHAnsi" w:cs="Arial"/>
                <w:sz w:val="22"/>
                <w:szCs w:val="22"/>
              </w:rPr>
            </w:pPr>
            <w:r w:rsidRPr="00AA3A4E">
              <w:rPr>
                <w:rFonts w:asciiTheme="majorHAnsi" w:eastAsia="Times New Roman" w:hAnsiTheme="majorHAnsi" w:cs="Arial"/>
                <w:sz w:val="22"/>
                <w:szCs w:val="22"/>
              </w:rPr>
              <w:t>4</w:t>
            </w:r>
            <w:r>
              <w:rPr>
                <w:rFonts w:asciiTheme="majorHAnsi" w:eastAsia="Times New Roman" w:hAnsiTheme="majorHAnsi" w:cs="Arial"/>
                <w:sz w:val="22"/>
                <w:szCs w:val="22"/>
              </w:rPr>
              <w:t>2.5</w:t>
            </w:r>
          </w:p>
        </w:tc>
      </w:tr>
      <w:tr w:rsidR="004B7C88" w:rsidRPr="00AA3A4E" w14:paraId="76BC6FDF" w14:textId="5B569F4E" w:rsidTr="005978F4">
        <w:trPr>
          <w:trHeight w:val="250"/>
          <w:jc w:val="center"/>
        </w:trPr>
        <w:tc>
          <w:tcPr>
            <w:tcW w:w="3256" w:type="dxa"/>
            <w:tcBorders>
              <w:top w:val="single" w:sz="4" w:space="0" w:color="auto"/>
              <w:left w:val="single" w:sz="4" w:space="0" w:color="auto"/>
              <w:bottom w:val="single" w:sz="4" w:space="0" w:color="auto"/>
              <w:right w:val="single" w:sz="4" w:space="0" w:color="auto"/>
            </w:tcBorders>
          </w:tcPr>
          <w:p w14:paraId="70A93836" w14:textId="5CDD6250" w:rsidR="004B7C88" w:rsidRPr="00AA3A4E" w:rsidRDefault="004B7C88" w:rsidP="00D2486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Cash</w:t>
            </w:r>
          </w:p>
        </w:tc>
        <w:tc>
          <w:tcPr>
            <w:tcW w:w="3969" w:type="dxa"/>
            <w:tcBorders>
              <w:top w:val="single" w:sz="4" w:space="0" w:color="auto"/>
              <w:left w:val="single" w:sz="4" w:space="0" w:color="auto"/>
              <w:bottom w:val="single" w:sz="4" w:space="0" w:color="auto"/>
              <w:right w:val="single" w:sz="4" w:space="0" w:color="auto"/>
            </w:tcBorders>
          </w:tcPr>
          <w:p w14:paraId="103045FD" w14:textId="77777777" w:rsidR="004B7C88" w:rsidRDefault="004B7C88" w:rsidP="00D2486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LGIM Cash Fund</w:t>
            </w:r>
          </w:p>
          <w:p w14:paraId="3B893EA9" w14:textId="41A5C982" w:rsidR="00113524" w:rsidDel="00DE6D15" w:rsidRDefault="00113524" w:rsidP="00D2486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B35B70F" w14:textId="6F04574F" w:rsidR="004B7C88" w:rsidRPr="00AA3A4E" w:rsidRDefault="004B7C88" w:rsidP="001A1FC9">
            <w:pPr>
              <w:tabs>
                <w:tab w:val="left" w:pos="864"/>
                <w:tab w:val="left" w:pos="1152"/>
                <w:tab w:val="left" w:pos="1728"/>
                <w:tab w:val="left" w:pos="7776"/>
                <w:tab w:val="left" w:pos="8640"/>
              </w:tabs>
              <w:overflowPunct w:val="0"/>
              <w:autoSpaceDE w:val="0"/>
              <w:autoSpaceDN w:val="0"/>
              <w:adjustRightInd w:val="0"/>
              <w:spacing w:line="240" w:lineRule="exact"/>
              <w:ind w:right="144"/>
              <w:jc w:val="center"/>
              <w:textAlignment w:val="baseline"/>
              <w:rPr>
                <w:rFonts w:asciiTheme="majorHAnsi" w:eastAsia="Times New Roman" w:hAnsiTheme="majorHAnsi" w:cs="Arial"/>
                <w:sz w:val="22"/>
                <w:szCs w:val="22"/>
              </w:rPr>
            </w:pPr>
            <w:r>
              <w:rPr>
                <w:rFonts w:asciiTheme="majorHAnsi" w:eastAsia="Times New Roman" w:hAnsiTheme="majorHAnsi" w:cs="Arial"/>
                <w:sz w:val="22"/>
                <w:szCs w:val="22"/>
              </w:rPr>
              <w:t>-</w:t>
            </w:r>
          </w:p>
        </w:tc>
      </w:tr>
      <w:tr w:rsidR="004B7C88" w:rsidRPr="00AA3A4E" w14:paraId="65F599BA" w14:textId="653E0DBB" w:rsidTr="005978F4">
        <w:trPr>
          <w:trHeight w:val="250"/>
          <w:jc w:val="center"/>
        </w:trPr>
        <w:tc>
          <w:tcPr>
            <w:tcW w:w="3256" w:type="dxa"/>
            <w:tcBorders>
              <w:top w:val="single" w:sz="4" w:space="0" w:color="auto"/>
              <w:left w:val="single" w:sz="4" w:space="0" w:color="auto"/>
              <w:bottom w:val="single" w:sz="4" w:space="0" w:color="auto"/>
              <w:right w:val="single" w:sz="4" w:space="0" w:color="auto"/>
            </w:tcBorders>
          </w:tcPr>
          <w:p w14:paraId="001C11E3" w14:textId="77777777" w:rsidR="004B7C88" w:rsidRPr="00AA3A4E" w:rsidRDefault="004B7C88" w:rsidP="00AA3A4E">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b/>
                <w:sz w:val="22"/>
                <w:szCs w:val="22"/>
              </w:rPr>
            </w:pPr>
            <w:r w:rsidRPr="00AA3A4E">
              <w:rPr>
                <w:rFonts w:asciiTheme="majorHAnsi" w:eastAsia="Times New Roman" w:hAnsiTheme="majorHAnsi" w:cs="Arial"/>
                <w:b/>
                <w:sz w:val="22"/>
                <w:szCs w:val="22"/>
              </w:rPr>
              <w:t>Total</w:t>
            </w:r>
          </w:p>
        </w:tc>
        <w:tc>
          <w:tcPr>
            <w:tcW w:w="3969" w:type="dxa"/>
            <w:tcBorders>
              <w:top w:val="single" w:sz="4" w:space="0" w:color="auto"/>
              <w:left w:val="single" w:sz="4" w:space="0" w:color="auto"/>
              <w:bottom w:val="single" w:sz="4" w:space="0" w:color="auto"/>
              <w:right w:val="single" w:sz="4" w:space="0" w:color="auto"/>
            </w:tcBorders>
          </w:tcPr>
          <w:p w14:paraId="5441F686" w14:textId="77777777" w:rsidR="004B7C88" w:rsidRDefault="004B7C88" w:rsidP="00AA3A4E">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b/>
                <w:sz w:val="22"/>
                <w:szCs w:val="22"/>
              </w:rPr>
            </w:pPr>
            <w:r>
              <w:rPr>
                <w:rFonts w:asciiTheme="majorHAnsi" w:eastAsia="Times New Roman" w:hAnsiTheme="majorHAnsi" w:cs="Arial"/>
                <w:b/>
                <w:sz w:val="22"/>
                <w:szCs w:val="22"/>
              </w:rPr>
              <w:t>-</w:t>
            </w:r>
          </w:p>
          <w:p w14:paraId="43B94A06" w14:textId="26F9B282" w:rsidR="00113524" w:rsidRPr="00AA3A4E" w:rsidRDefault="00113524" w:rsidP="00AA3A4E">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4FE6D7E7" w14:textId="1EDB99DF" w:rsidR="004B7C88" w:rsidRPr="00AA3A4E" w:rsidRDefault="004B7C88">
            <w:pPr>
              <w:tabs>
                <w:tab w:val="left" w:pos="864"/>
                <w:tab w:val="left" w:pos="1152"/>
                <w:tab w:val="left" w:pos="1728"/>
                <w:tab w:val="left" w:pos="7776"/>
                <w:tab w:val="left" w:pos="8640"/>
              </w:tabs>
              <w:overflowPunct w:val="0"/>
              <w:autoSpaceDE w:val="0"/>
              <w:autoSpaceDN w:val="0"/>
              <w:adjustRightInd w:val="0"/>
              <w:spacing w:line="240" w:lineRule="exact"/>
              <w:ind w:right="144"/>
              <w:jc w:val="center"/>
              <w:textAlignment w:val="baseline"/>
              <w:rPr>
                <w:rFonts w:asciiTheme="majorHAnsi" w:eastAsia="Times New Roman" w:hAnsiTheme="majorHAnsi" w:cs="Arial"/>
                <w:b/>
                <w:sz w:val="22"/>
                <w:szCs w:val="22"/>
              </w:rPr>
            </w:pPr>
            <w:r w:rsidRPr="00AA3A4E">
              <w:rPr>
                <w:rFonts w:asciiTheme="majorHAnsi" w:eastAsia="Times New Roman" w:hAnsiTheme="majorHAnsi" w:cs="Arial"/>
                <w:b/>
                <w:sz w:val="22"/>
                <w:szCs w:val="22"/>
              </w:rPr>
              <w:t>100</w:t>
            </w:r>
          </w:p>
        </w:tc>
      </w:tr>
    </w:tbl>
    <w:p w14:paraId="1F5EAC6D" w14:textId="77777777" w:rsidR="00A720FC" w:rsidRDefault="00A720FC"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2A3EFC27" w14:textId="3716E4FD" w:rsidR="00DE754B"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4B6234">
        <w:rPr>
          <w:rFonts w:asciiTheme="majorHAnsi" w:eastAsia="Times New Roman" w:hAnsiTheme="majorHAnsi" w:cs="Arial"/>
          <w:sz w:val="22"/>
          <w:szCs w:val="22"/>
        </w:rPr>
        <w:t>While there is no strategic asset all</w:t>
      </w:r>
      <w:r w:rsidR="00643A15" w:rsidRPr="004B6234">
        <w:rPr>
          <w:rFonts w:asciiTheme="majorHAnsi" w:eastAsia="Times New Roman" w:hAnsiTheme="majorHAnsi" w:cs="Arial"/>
          <w:sz w:val="22"/>
          <w:szCs w:val="22"/>
        </w:rPr>
        <w:t xml:space="preserve">ocation to the </w:t>
      </w:r>
      <w:r w:rsidR="007E7E77">
        <w:rPr>
          <w:rFonts w:asciiTheme="majorHAnsi" w:eastAsia="Times New Roman" w:hAnsiTheme="majorHAnsi" w:cs="Arial"/>
          <w:sz w:val="22"/>
          <w:szCs w:val="22"/>
        </w:rPr>
        <w:t>LGIM</w:t>
      </w:r>
      <w:r w:rsidR="00643A15" w:rsidRPr="004B6234">
        <w:rPr>
          <w:rFonts w:asciiTheme="majorHAnsi" w:eastAsia="Times New Roman" w:hAnsiTheme="majorHAnsi" w:cs="Arial"/>
          <w:sz w:val="22"/>
          <w:szCs w:val="22"/>
        </w:rPr>
        <w:t xml:space="preserve"> Cash </w:t>
      </w:r>
      <w:r w:rsidRPr="004B6234">
        <w:rPr>
          <w:rFonts w:asciiTheme="majorHAnsi" w:eastAsia="Times New Roman" w:hAnsiTheme="majorHAnsi" w:cs="Arial"/>
          <w:sz w:val="22"/>
          <w:szCs w:val="22"/>
        </w:rPr>
        <w:t>Fund</w:t>
      </w:r>
      <w:r w:rsidR="00643A15" w:rsidRPr="004B6234">
        <w:rPr>
          <w:rFonts w:asciiTheme="majorHAnsi" w:eastAsia="Times New Roman" w:hAnsiTheme="majorHAnsi" w:cs="Arial"/>
          <w:sz w:val="22"/>
          <w:szCs w:val="22"/>
        </w:rPr>
        <w:t>,</w:t>
      </w:r>
      <w:r w:rsidRPr="004B6234">
        <w:rPr>
          <w:rFonts w:asciiTheme="majorHAnsi" w:eastAsia="Times New Roman" w:hAnsiTheme="majorHAnsi" w:cs="Arial"/>
          <w:sz w:val="22"/>
          <w:szCs w:val="22"/>
        </w:rPr>
        <w:t xml:space="preserve"> the </w:t>
      </w:r>
      <w:r w:rsidR="00D158B5" w:rsidRPr="004B6234">
        <w:rPr>
          <w:rFonts w:asciiTheme="majorHAnsi" w:eastAsia="Times New Roman" w:hAnsiTheme="majorHAnsi" w:cs="Arial"/>
          <w:sz w:val="22"/>
          <w:szCs w:val="22"/>
        </w:rPr>
        <w:t>Trustee</w:t>
      </w:r>
      <w:r w:rsidRPr="004B6234">
        <w:rPr>
          <w:rFonts w:asciiTheme="majorHAnsi" w:eastAsia="Times New Roman" w:hAnsiTheme="majorHAnsi" w:cs="Arial"/>
          <w:sz w:val="22"/>
          <w:szCs w:val="22"/>
        </w:rPr>
        <w:t xml:space="preserve"> </w:t>
      </w:r>
      <w:r w:rsidR="007E7E77" w:rsidRPr="00D2486F">
        <w:rPr>
          <w:rFonts w:asciiTheme="majorHAnsi" w:eastAsia="Times New Roman" w:hAnsiTheme="majorHAnsi" w:cs="Arial"/>
          <w:sz w:val="22"/>
          <w:szCs w:val="22"/>
        </w:rPr>
        <w:t xml:space="preserve">can use this from time to time </w:t>
      </w:r>
      <w:r w:rsidR="00B34524">
        <w:rPr>
          <w:rFonts w:asciiTheme="majorHAnsi" w:eastAsia="Times New Roman" w:hAnsiTheme="majorHAnsi" w:cs="Arial"/>
          <w:sz w:val="22"/>
          <w:szCs w:val="22"/>
        </w:rPr>
        <w:t xml:space="preserve">for </w:t>
      </w:r>
      <w:r w:rsidR="007E7E77" w:rsidRPr="00D2486F">
        <w:rPr>
          <w:rFonts w:asciiTheme="majorHAnsi" w:eastAsia="Times New Roman" w:hAnsiTheme="majorHAnsi" w:cs="Arial"/>
          <w:sz w:val="22"/>
          <w:szCs w:val="22"/>
        </w:rPr>
        <w:t xml:space="preserve">cashflow </w:t>
      </w:r>
      <w:r w:rsidR="00B34524">
        <w:rPr>
          <w:rFonts w:asciiTheme="majorHAnsi" w:eastAsia="Times New Roman" w:hAnsiTheme="majorHAnsi" w:cs="Arial"/>
          <w:sz w:val="22"/>
          <w:szCs w:val="22"/>
        </w:rPr>
        <w:t>management purposes</w:t>
      </w:r>
      <w:r w:rsidR="007E7E77" w:rsidRPr="00D2486F">
        <w:rPr>
          <w:rFonts w:asciiTheme="majorHAnsi" w:eastAsia="Times New Roman" w:hAnsiTheme="majorHAnsi" w:cs="Arial"/>
          <w:sz w:val="22"/>
          <w:szCs w:val="22"/>
        </w:rPr>
        <w:t>.</w:t>
      </w:r>
    </w:p>
    <w:p w14:paraId="045B7E5A" w14:textId="2E4B84E4" w:rsidR="006619B2" w:rsidRDefault="006619B2"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455EEDE2" w14:textId="47BA636D" w:rsidR="00DF4C79" w:rsidRPr="00DF4C79" w:rsidRDefault="00DF4C79" w:rsidP="00DF4C79">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DF4C79">
        <w:rPr>
          <w:rFonts w:asciiTheme="majorHAnsi" w:eastAsia="Times New Roman" w:hAnsiTheme="majorHAnsi" w:cs="Arial"/>
          <w:sz w:val="22"/>
          <w:szCs w:val="22"/>
        </w:rPr>
        <w:t xml:space="preserve">The LDI portfolio invests in funds which achieve leveraged exposure to interest rates and inflation using derivatives. The impact of this is that the return on these funds is more sensitive to movements in interest rates and/or inflation. Leverage is being used to match a higher proportion of the Scheme’s liabilities, keeping assets available to invest in global equities for expected return purposes. When there are significant movements in interest rates and inflation then collateral will either be paid out of these funds to the Scheme or be required to be paid into these funds to maintain the level of interest rate and inflation hedging, depending on the direction in which rates have moved. LGIM manages these funds to maintain leverage levels within a defined range and will pay out or call in additional collateral when required. </w:t>
      </w:r>
    </w:p>
    <w:p w14:paraId="65D8BE48" w14:textId="77777777" w:rsidR="00DF4C79" w:rsidRPr="00DF4C79" w:rsidRDefault="00DF4C79" w:rsidP="00DF4C79">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4708BF6D" w14:textId="77777777" w:rsidR="00DF4C79" w:rsidRPr="00DF4C79" w:rsidRDefault="00DF4C79" w:rsidP="00DF4C79">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DF4C79">
        <w:rPr>
          <w:rFonts w:asciiTheme="majorHAnsi" w:eastAsia="Times New Roman" w:hAnsiTheme="majorHAnsi" w:cs="Arial"/>
          <w:sz w:val="22"/>
          <w:szCs w:val="22"/>
        </w:rPr>
        <w:t>When nominal/real yields fall, the value of the derivatives held by the Scheme to match the liabilities will rise, collateral will be received and the level of leverage will fall. If a lower leverage limit is breached then cash will be paid out of these funds into the LGIM Cash Fund.</w:t>
      </w:r>
    </w:p>
    <w:p w14:paraId="35A48853" w14:textId="77777777" w:rsidR="00DF4C79" w:rsidRPr="00DF4C79" w:rsidRDefault="00DF4C79" w:rsidP="00DF4C79">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040E95D3" w14:textId="13E58672" w:rsidR="00DF4C79" w:rsidRPr="00DF4C79" w:rsidRDefault="00DF4C79" w:rsidP="00DF4C79">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DF4C79">
        <w:rPr>
          <w:rFonts w:asciiTheme="majorHAnsi" w:eastAsia="Times New Roman" w:hAnsiTheme="majorHAnsi" w:cs="Arial"/>
          <w:sz w:val="22"/>
          <w:szCs w:val="22"/>
        </w:rPr>
        <w:t xml:space="preserve">When nominal/real yields rise, the value of the derivatives held by the Scheme to match the liabilities will fall, collateral will be paid to counterparties and the level of leverage will rise. If an upper leverage limit is breached then additional cash will need to be paid into these funds to maintain the same level of hedging. </w:t>
      </w:r>
      <w:r w:rsidRPr="00DF4C79">
        <w:rPr>
          <w:rFonts w:asciiTheme="majorHAnsi" w:hAnsiTheme="majorHAnsi" w:cs="Arial"/>
          <w:sz w:val="22"/>
          <w:szCs w:val="22"/>
        </w:rPr>
        <w:t>Should such an event arise then the Trustee has instructed Legal &amp; General to take these additional assets from the LGIM Cash Fund</w:t>
      </w:r>
      <w:r w:rsidR="00724308">
        <w:rPr>
          <w:rFonts w:asciiTheme="majorHAnsi" w:hAnsiTheme="majorHAnsi" w:cs="Arial"/>
          <w:sz w:val="22"/>
          <w:szCs w:val="22"/>
        </w:rPr>
        <w:t>,</w:t>
      </w:r>
      <w:r w:rsidRPr="00DF4C79">
        <w:rPr>
          <w:rFonts w:asciiTheme="majorHAnsi" w:hAnsiTheme="majorHAnsi" w:cs="Arial"/>
          <w:sz w:val="22"/>
          <w:szCs w:val="22"/>
        </w:rPr>
        <w:t xml:space="preserve"> or if insufficient</w:t>
      </w:r>
      <w:r w:rsidR="00724308">
        <w:rPr>
          <w:rFonts w:asciiTheme="majorHAnsi" w:hAnsiTheme="majorHAnsi" w:cs="Arial"/>
          <w:sz w:val="22"/>
          <w:szCs w:val="22"/>
        </w:rPr>
        <w:t>, then</w:t>
      </w:r>
      <w:r w:rsidRPr="00DF4C79">
        <w:rPr>
          <w:rFonts w:asciiTheme="majorHAnsi" w:hAnsiTheme="majorHAnsi" w:cs="Arial"/>
          <w:sz w:val="22"/>
          <w:szCs w:val="22"/>
        </w:rPr>
        <w:t xml:space="preserve"> the LGIM </w:t>
      </w:r>
      <w:r w:rsidR="00724308">
        <w:rPr>
          <w:rFonts w:asciiTheme="majorHAnsi" w:hAnsiTheme="majorHAnsi" w:cs="Arial"/>
          <w:sz w:val="22"/>
          <w:szCs w:val="22"/>
        </w:rPr>
        <w:t>Future World Global Equity Index Fund (GBP Hedged)</w:t>
      </w:r>
      <w:r w:rsidRPr="00DF4C79">
        <w:rPr>
          <w:rFonts w:asciiTheme="majorHAnsi" w:hAnsiTheme="majorHAnsi" w:cs="Arial"/>
          <w:sz w:val="22"/>
          <w:szCs w:val="22"/>
        </w:rPr>
        <w:t>. Should this still be insufficient to meet the required top up amount, the Scheme’s level of hedging will be reduced.</w:t>
      </w:r>
    </w:p>
    <w:p w14:paraId="4D5C3730" w14:textId="77777777" w:rsidR="00DE754B" w:rsidRPr="00DE754B"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65BE102A" w14:textId="5CD543C6" w:rsidR="00DE754B" w:rsidRPr="00DE754B" w:rsidRDefault="00E25CD8"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The</w:t>
      </w:r>
      <w:r w:rsidR="00DE754B" w:rsidRPr="00DE754B">
        <w:rPr>
          <w:rFonts w:asciiTheme="majorHAnsi" w:eastAsia="Times New Roman" w:hAnsiTheme="majorHAnsi" w:cs="Arial"/>
          <w:sz w:val="22"/>
          <w:szCs w:val="22"/>
        </w:rPr>
        <w:t xml:space="preserve"> </w:t>
      </w:r>
      <w:r w:rsidR="00D158B5">
        <w:rPr>
          <w:rFonts w:asciiTheme="majorHAnsi" w:eastAsia="Times New Roman" w:hAnsiTheme="majorHAnsi" w:cs="Arial"/>
          <w:sz w:val="22"/>
          <w:szCs w:val="22"/>
        </w:rPr>
        <w:t>Trustee</w:t>
      </w:r>
      <w:r w:rsidR="00DE754B" w:rsidRPr="00DE754B">
        <w:rPr>
          <w:rFonts w:asciiTheme="majorHAnsi" w:eastAsia="Times New Roman" w:hAnsiTheme="majorHAnsi" w:cs="Arial"/>
          <w:sz w:val="22"/>
          <w:szCs w:val="22"/>
        </w:rPr>
        <w:t xml:space="preserve"> will review the asset allocation of the </w:t>
      </w:r>
      <w:r w:rsidR="00643A15">
        <w:rPr>
          <w:rFonts w:asciiTheme="majorHAnsi" w:eastAsia="Times New Roman" w:hAnsiTheme="majorHAnsi" w:cs="Arial"/>
          <w:sz w:val="22"/>
          <w:szCs w:val="22"/>
        </w:rPr>
        <w:t>Scheme</w:t>
      </w:r>
      <w:r w:rsidR="00412A5E">
        <w:rPr>
          <w:rFonts w:asciiTheme="majorHAnsi" w:eastAsia="Times New Roman" w:hAnsiTheme="majorHAnsi" w:cs="Arial"/>
          <w:sz w:val="22"/>
          <w:szCs w:val="22"/>
        </w:rPr>
        <w:t xml:space="preserve"> </w:t>
      </w:r>
      <w:r w:rsidR="00DE754B" w:rsidRPr="00DE754B">
        <w:rPr>
          <w:rFonts w:asciiTheme="majorHAnsi" w:eastAsia="Times New Roman" w:hAnsiTheme="majorHAnsi" w:cs="Arial"/>
          <w:sz w:val="22"/>
          <w:szCs w:val="22"/>
        </w:rPr>
        <w:t>relative to the strategic benchmark on a regular basis and update where appropriate</w:t>
      </w:r>
      <w:r w:rsidR="004B7C88">
        <w:rPr>
          <w:rFonts w:asciiTheme="majorHAnsi" w:eastAsia="Times New Roman" w:hAnsiTheme="majorHAnsi" w:cs="Arial"/>
          <w:sz w:val="22"/>
          <w:szCs w:val="22"/>
        </w:rPr>
        <w:t xml:space="preserve"> </w:t>
      </w:r>
      <w:r w:rsidR="004B7C88" w:rsidRPr="004B7C88">
        <w:rPr>
          <w:rFonts w:asciiTheme="majorHAnsi" w:eastAsia="Times New Roman" w:hAnsiTheme="majorHAnsi" w:cs="Arial"/>
          <w:sz w:val="22"/>
          <w:szCs w:val="22"/>
        </w:rPr>
        <w:t xml:space="preserve">to ensure </w:t>
      </w:r>
      <w:r w:rsidR="004B7C88">
        <w:rPr>
          <w:rFonts w:asciiTheme="majorHAnsi" w:eastAsia="Times New Roman" w:hAnsiTheme="majorHAnsi" w:cs="Arial"/>
          <w:sz w:val="22"/>
          <w:szCs w:val="22"/>
        </w:rPr>
        <w:t xml:space="preserve">that </w:t>
      </w:r>
      <w:r w:rsidR="004B7C88" w:rsidRPr="004B7C88">
        <w:rPr>
          <w:rFonts w:asciiTheme="majorHAnsi" w:eastAsia="Times New Roman" w:hAnsiTheme="majorHAnsi" w:cs="Arial"/>
          <w:sz w:val="22"/>
          <w:szCs w:val="22"/>
        </w:rPr>
        <w:t>the strategy remains in line with the Trustee</w:t>
      </w:r>
      <w:r w:rsidR="001F6C8A">
        <w:rPr>
          <w:rFonts w:asciiTheme="majorHAnsi" w:eastAsia="Times New Roman" w:hAnsiTheme="majorHAnsi" w:cs="Arial"/>
          <w:sz w:val="22"/>
          <w:szCs w:val="22"/>
        </w:rPr>
        <w:t>’</w:t>
      </w:r>
      <w:r w:rsidR="004B7C88" w:rsidRPr="004B7C88">
        <w:rPr>
          <w:rFonts w:asciiTheme="majorHAnsi" w:eastAsia="Times New Roman" w:hAnsiTheme="majorHAnsi" w:cs="Arial"/>
          <w:sz w:val="22"/>
          <w:szCs w:val="22"/>
        </w:rPr>
        <w:t>s objectives and risk tolerances</w:t>
      </w:r>
      <w:r w:rsidR="00DE754B" w:rsidRPr="00DE754B">
        <w:rPr>
          <w:rFonts w:asciiTheme="majorHAnsi" w:eastAsia="Times New Roman" w:hAnsiTheme="majorHAnsi" w:cs="Arial"/>
          <w:sz w:val="22"/>
          <w:szCs w:val="22"/>
        </w:rPr>
        <w:t>.</w:t>
      </w:r>
    </w:p>
    <w:p w14:paraId="477F1265" w14:textId="77777777" w:rsidR="00DE754B" w:rsidRPr="00DE754B"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70F17F2F" w14:textId="226F28B7" w:rsidR="00DE754B" w:rsidRPr="00DE754B"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hAnsiTheme="majorHAnsi" w:cs="Arial"/>
          <w:sz w:val="22"/>
          <w:szCs w:val="22"/>
        </w:rPr>
      </w:pPr>
      <w:r w:rsidRPr="00DE754B">
        <w:rPr>
          <w:rFonts w:asciiTheme="majorHAnsi" w:eastAsia="Times New Roman" w:hAnsiTheme="majorHAnsi" w:cs="Arial"/>
          <w:sz w:val="22"/>
          <w:szCs w:val="22"/>
        </w:rPr>
        <w:t xml:space="preserve">When choosing the </w:t>
      </w:r>
      <w:r w:rsidR="00643A15">
        <w:rPr>
          <w:rFonts w:asciiTheme="majorHAnsi" w:eastAsia="Times New Roman" w:hAnsiTheme="majorHAnsi" w:cs="Arial"/>
          <w:sz w:val="22"/>
          <w:szCs w:val="22"/>
        </w:rPr>
        <w:t>Scheme</w:t>
      </w:r>
      <w:r w:rsidRPr="00DE754B">
        <w:rPr>
          <w:rFonts w:asciiTheme="majorHAnsi" w:eastAsia="Times New Roman" w:hAnsiTheme="majorHAnsi" w:cs="Arial"/>
          <w:sz w:val="22"/>
          <w:szCs w:val="22"/>
        </w:rPr>
        <w:t xml:space="preserve">’s asset allocation </w:t>
      </w:r>
      <w:r w:rsidR="00724308" w:rsidRPr="00DE754B">
        <w:rPr>
          <w:rFonts w:asciiTheme="majorHAnsi" w:eastAsia="Times New Roman" w:hAnsiTheme="majorHAnsi" w:cs="Arial"/>
          <w:sz w:val="22"/>
          <w:szCs w:val="22"/>
        </w:rPr>
        <w:t>strategy,</w:t>
      </w:r>
      <w:r w:rsidRPr="00DE754B">
        <w:rPr>
          <w:rFonts w:asciiTheme="majorHAnsi" w:eastAsia="Times New Roman" w:hAnsiTheme="majorHAnsi" w:cs="Arial"/>
          <w:sz w:val="22"/>
          <w:szCs w:val="22"/>
        </w:rPr>
        <w:t xml:space="preserve"> the </w:t>
      </w:r>
      <w:r w:rsidR="00D158B5">
        <w:rPr>
          <w:rFonts w:asciiTheme="majorHAnsi" w:eastAsia="Times New Roman" w:hAnsiTheme="majorHAnsi" w:cs="Arial"/>
          <w:sz w:val="22"/>
          <w:szCs w:val="22"/>
        </w:rPr>
        <w:t>Trustee</w:t>
      </w:r>
      <w:r w:rsidRPr="00DE754B">
        <w:rPr>
          <w:rFonts w:asciiTheme="majorHAnsi" w:eastAsia="Times New Roman" w:hAnsiTheme="majorHAnsi" w:cs="Arial"/>
          <w:sz w:val="22"/>
          <w:szCs w:val="22"/>
        </w:rPr>
        <w:t xml:space="preserve"> co</w:t>
      </w:r>
      <w:r w:rsidR="002D4845">
        <w:rPr>
          <w:rFonts w:asciiTheme="majorHAnsi" w:eastAsia="Times New Roman" w:hAnsiTheme="majorHAnsi" w:cs="Arial"/>
          <w:sz w:val="22"/>
          <w:szCs w:val="22"/>
        </w:rPr>
        <w:t>nsidered written advice from their</w:t>
      </w:r>
      <w:r w:rsidRPr="00DE754B">
        <w:rPr>
          <w:rFonts w:asciiTheme="majorHAnsi" w:eastAsia="Times New Roman" w:hAnsiTheme="majorHAnsi" w:cs="Arial"/>
          <w:sz w:val="22"/>
          <w:szCs w:val="22"/>
        </w:rPr>
        <w:t xml:space="preserve"> investment consultant and, in doing so, addressed the following:</w:t>
      </w:r>
      <w:r w:rsidRPr="00DE754B">
        <w:rPr>
          <w:rFonts w:asciiTheme="majorHAnsi" w:eastAsia="Times New Roman" w:hAnsiTheme="majorHAnsi" w:cs="Arial"/>
          <w:sz w:val="22"/>
          <w:szCs w:val="22"/>
        </w:rPr>
        <w:br/>
      </w:r>
    </w:p>
    <w:p w14:paraId="7BA92DC0" w14:textId="77777777" w:rsidR="00DE754B" w:rsidRPr="00DE754B" w:rsidRDefault="00DE754B" w:rsidP="00DE754B">
      <w:pPr>
        <w:pStyle w:val="ListBullet"/>
        <w:numPr>
          <w:ilvl w:val="0"/>
          <w:numId w:val="16"/>
        </w:numPr>
        <w:tabs>
          <w:tab w:val="clear" w:pos="360"/>
          <w:tab w:val="num" w:pos="720"/>
        </w:tabs>
        <w:ind w:left="720"/>
        <w:rPr>
          <w:rFonts w:asciiTheme="majorHAnsi" w:hAnsiTheme="majorHAnsi" w:cs="Arial"/>
          <w:sz w:val="22"/>
          <w:szCs w:val="22"/>
        </w:rPr>
      </w:pPr>
      <w:r w:rsidRPr="00DE754B">
        <w:rPr>
          <w:rFonts w:asciiTheme="majorHAnsi" w:hAnsiTheme="majorHAnsi" w:cs="Arial"/>
          <w:sz w:val="22"/>
          <w:szCs w:val="22"/>
        </w:rPr>
        <w:t>The need to consider a full range of asset classes.</w:t>
      </w:r>
    </w:p>
    <w:p w14:paraId="244D0C5F" w14:textId="77777777" w:rsidR="00DE754B" w:rsidRPr="00DE754B" w:rsidRDefault="00DE754B" w:rsidP="00DE754B">
      <w:pPr>
        <w:pStyle w:val="ListBullet"/>
        <w:numPr>
          <w:ilvl w:val="0"/>
          <w:numId w:val="16"/>
        </w:numPr>
        <w:tabs>
          <w:tab w:val="clear" w:pos="360"/>
          <w:tab w:val="num" w:pos="720"/>
        </w:tabs>
        <w:ind w:left="720"/>
        <w:rPr>
          <w:rFonts w:asciiTheme="majorHAnsi" w:hAnsiTheme="majorHAnsi" w:cs="Arial"/>
          <w:sz w:val="22"/>
          <w:szCs w:val="22"/>
        </w:rPr>
      </w:pPr>
      <w:r w:rsidRPr="00DE754B">
        <w:rPr>
          <w:rFonts w:asciiTheme="majorHAnsi" w:hAnsiTheme="majorHAnsi" w:cs="Arial"/>
          <w:sz w:val="22"/>
          <w:szCs w:val="22"/>
        </w:rPr>
        <w:t>The risks and rewards of a range of alternative asset allocation strategies.</w:t>
      </w:r>
    </w:p>
    <w:p w14:paraId="3AE06876" w14:textId="77777777" w:rsidR="00DE754B" w:rsidRPr="00DE754B" w:rsidRDefault="00DE754B" w:rsidP="00DE754B">
      <w:pPr>
        <w:pStyle w:val="ListBullet"/>
        <w:numPr>
          <w:ilvl w:val="0"/>
          <w:numId w:val="16"/>
        </w:numPr>
        <w:tabs>
          <w:tab w:val="clear" w:pos="360"/>
          <w:tab w:val="num" w:pos="720"/>
        </w:tabs>
        <w:ind w:left="720"/>
        <w:rPr>
          <w:rFonts w:asciiTheme="majorHAnsi" w:hAnsiTheme="majorHAnsi" w:cs="Arial"/>
          <w:sz w:val="22"/>
          <w:szCs w:val="22"/>
        </w:rPr>
      </w:pPr>
      <w:r w:rsidRPr="00DE754B">
        <w:rPr>
          <w:rFonts w:asciiTheme="majorHAnsi" w:hAnsiTheme="majorHAnsi" w:cs="Arial"/>
          <w:sz w:val="22"/>
          <w:szCs w:val="22"/>
        </w:rPr>
        <w:t>The suitability of each asset class.</w:t>
      </w:r>
    </w:p>
    <w:p w14:paraId="4E144970" w14:textId="77777777" w:rsidR="00DE754B" w:rsidRPr="00DE754B" w:rsidRDefault="00DE754B" w:rsidP="00DE754B">
      <w:pPr>
        <w:pStyle w:val="ListBullet"/>
        <w:numPr>
          <w:ilvl w:val="0"/>
          <w:numId w:val="16"/>
        </w:numPr>
        <w:tabs>
          <w:tab w:val="clear" w:pos="360"/>
          <w:tab w:val="num" w:pos="720"/>
        </w:tabs>
        <w:ind w:left="720"/>
        <w:rPr>
          <w:rFonts w:asciiTheme="majorHAnsi" w:hAnsiTheme="majorHAnsi" w:cs="Arial"/>
          <w:sz w:val="22"/>
          <w:szCs w:val="22"/>
        </w:rPr>
      </w:pPr>
      <w:r w:rsidRPr="00DE754B">
        <w:rPr>
          <w:rFonts w:asciiTheme="majorHAnsi" w:hAnsiTheme="majorHAnsi" w:cs="Arial"/>
          <w:sz w:val="22"/>
          <w:szCs w:val="22"/>
        </w:rPr>
        <w:t>The need for appropriate diversification.</w:t>
      </w:r>
    </w:p>
    <w:p w14:paraId="799CD4C2" w14:textId="774E25E9" w:rsidR="00111BB0" w:rsidRPr="00111BB0" w:rsidRDefault="00DE754B" w:rsidP="00111BB0">
      <w:pPr>
        <w:pStyle w:val="ListBullet"/>
        <w:numPr>
          <w:ilvl w:val="0"/>
          <w:numId w:val="16"/>
        </w:numPr>
        <w:tabs>
          <w:tab w:val="clear" w:pos="360"/>
          <w:tab w:val="num" w:pos="720"/>
        </w:tabs>
        <w:ind w:left="720"/>
        <w:rPr>
          <w:rFonts w:asciiTheme="majorHAnsi" w:hAnsiTheme="majorHAnsi" w:cs="Arial"/>
          <w:sz w:val="22"/>
          <w:szCs w:val="22"/>
        </w:rPr>
      </w:pPr>
      <w:r w:rsidRPr="00DE754B">
        <w:rPr>
          <w:rFonts w:asciiTheme="majorHAnsi" w:hAnsiTheme="majorHAnsi" w:cs="Arial"/>
          <w:sz w:val="22"/>
          <w:szCs w:val="22"/>
        </w:rPr>
        <w:t>The need for liquidity.</w:t>
      </w:r>
    </w:p>
    <w:p w14:paraId="67F8A8CA" w14:textId="24E4AF4B" w:rsidR="007A5C4D" w:rsidRDefault="007A5C4D" w:rsidP="007A5C4D">
      <w:pPr>
        <w:pStyle w:val="ListBullet"/>
        <w:numPr>
          <w:ilvl w:val="0"/>
          <w:numId w:val="0"/>
        </w:numPr>
        <w:rPr>
          <w:rFonts w:asciiTheme="majorHAnsi" w:hAnsiTheme="majorHAnsi" w:cs="Arial"/>
          <w:sz w:val="22"/>
          <w:szCs w:val="22"/>
        </w:rPr>
      </w:pPr>
    </w:p>
    <w:p w14:paraId="4EC5823B" w14:textId="12BAF205" w:rsidR="00191486" w:rsidRPr="00430AD2" w:rsidRDefault="00111BB0" w:rsidP="005F4D39">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hAnsiTheme="majorHAnsi" w:cs="Arial"/>
          <w:sz w:val="22"/>
          <w:szCs w:val="22"/>
        </w:rPr>
        <w:t xml:space="preserve">The </w:t>
      </w:r>
      <w:r w:rsidR="00D158B5">
        <w:rPr>
          <w:rFonts w:asciiTheme="majorHAnsi" w:hAnsiTheme="majorHAnsi" w:cs="Arial"/>
          <w:sz w:val="22"/>
          <w:szCs w:val="22"/>
        </w:rPr>
        <w:t>Trustee</w:t>
      </w:r>
      <w:r>
        <w:rPr>
          <w:rFonts w:asciiTheme="majorHAnsi" w:hAnsiTheme="majorHAnsi" w:cs="Arial"/>
          <w:sz w:val="22"/>
          <w:szCs w:val="22"/>
        </w:rPr>
        <w:t xml:space="preserve"> </w:t>
      </w:r>
      <w:r w:rsidR="00B34524">
        <w:rPr>
          <w:rFonts w:asciiTheme="majorHAnsi" w:hAnsiTheme="majorHAnsi" w:cs="Arial"/>
          <w:sz w:val="22"/>
          <w:szCs w:val="22"/>
        </w:rPr>
        <w:t>is</w:t>
      </w:r>
      <w:r>
        <w:rPr>
          <w:rFonts w:asciiTheme="majorHAnsi" w:hAnsiTheme="majorHAnsi" w:cs="Arial"/>
          <w:sz w:val="22"/>
          <w:szCs w:val="22"/>
        </w:rPr>
        <w:t xml:space="preserve"> aware that the appropriate balance of different kinds of investments will vary over time and therefore the </w:t>
      </w:r>
      <w:r w:rsidR="00944F37">
        <w:rPr>
          <w:rFonts w:asciiTheme="majorHAnsi" w:hAnsiTheme="majorHAnsi" w:cs="Arial"/>
          <w:sz w:val="22"/>
          <w:szCs w:val="22"/>
        </w:rPr>
        <w:t>Scheme</w:t>
      </w:r>
      <w:r>
        <w:rPr>
          <w:rFonts w:asciiTheme="majorHAnsi" w:hAnsiTheme="majorHAnsi" w:cs="Arial"/>
          <w:sz w:val="22"/>
          <w:szCs w:val="22"/>
        </w:rPr>
        <w:t xml:space="preserve">’s asset allocation will be </w:t>
      </w:r>
      <w:r w:rsidR="00B34524">
        <w:rPr>
          <w:rFonts w:asciiTheme="majorHAnsi" w:hAnsiTheme="majorHAnsi" w:cs="Arial"/>
          <w:sz w:val="22"/>
          <w:szCs w:val="22"/>
        </w:rPr>
        <w:t>reviewed</w:t>
      </w:r>
      <w:r>
        <w:rPr>
          <w:rFonts w:asciiTheme="majorHAnsi" w:hAnsiTheme="majorHAnsi" w:cs="Arial"/>
          <w:sz w:val="22"/>
          <w:szCs w:val="22"/>
        </w:rPr>
        <w:t xml:space="preserve"> as the </w:t>
      </w:r>
      <w:r w:rsidR="00F5624D">
        <w:rPr>
          <w:rFonts w:asciiTheme="majorHAnsi" w:hAnsiTheme="majorHAnsi" w:cs="Arial"/>
          <w:sz w:val="22"/>
          <w:szCs w:val="22"/>
        </w:rPr>
        <w:t>Scheme</w:t>
      </w:r>
      <w:r>
        <w:rPr>
          <w:rFonts w:asciiTheme="majorHAnsi" w:hAnsiTheme="majorHAnsi" w:cs="Arial"/>
          <w:sz w:val="22"/>
          <w:szCs w:val="22"/>
        </w:rPr>
        <w:t xml:space="preserve">’s liability profile matures. </w:t>
      </w:r>
      <w:bookmarkStart w:id="13" w:name="_Toc29549331"/>
      <w:bookmarkStart w:id="14" w:name="_Toc29549420"/>
      <w:bookmarkStart w:id="15" w:name="_Toc29544671"/>
      <w:bookmarkStart w:id="16" w:name="_Toc29549333"/>
      <w:bookmarkStart w:id="17" w:name="_Toc29549422"/>
      <w:bookmarkStart w:id="18" w:name="_Toc29544672"/>
      <w:bookmarkStart w:id="19" w:name="_Toc29549334"/>
      <w:bookmarkStart w:id="20" w:name="_Toc29549423"/>
      <w:bookmarkStart w:id="21" w:name="_Toc29544676"/>
      <w:bookmarkStart w:id="22" w:name="_Toc29549338"/>
      <w:bookmarkStart w:id="23" w:name="_Toc29549427"/>
      <w:bookmarkStart w:id="24" w:name="_Toc29544677"/>
      <w:bookmarkStart w:id="25" w:name="_Toc29549339"/>
      <w:bookmarkStart w:id="26" w:name="_Toc29549428"/>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AA65546" w14:textId="77777777" w:rsidR="00DE754B" w:rsidRPr="003D0F99" w:rsidRDefault="00DE754B" w:rsidP="00DE754B">
      <w:pPr>
        <w:pStyle w:val="Heading1"/>
        <w:numPr>
          <w:ilvl w:val="0"/>
          <w:numId w:val="15"/>
        </w:numPr>
        <w:rPr>
          <w:b/>
          <w:color w:val="62B5E5" w:themeColor="accent3"/>
          <w:sz w:val="24"/>
          <w:szCs w:val="24"/>
          <w:lang w:val="en-US"/>
        </w:rPr>
      </w:pPr>
      <w:bookmarkStart w:id="27" w:name="_Toc29544679"/>
      <w:bookmarkStart w:id="28" w:name="_Toc29549341"/>
      <w:bookmarkStart w:id="29" w:name="_Toc29549430"/>
      <w:bookmarkStart w:id="30" w:name="_Toc29544681"/>
      <w:bookmarkStart w:id="31" w:name="_Toc29549343"/>
      <w:bookmarkStart w:id="32" w:name="_Toc29549432"/>
      <w:bookmarkStart w:id="33" w:name="_Toc29544683"/>
      <w:bookmarkStart w:id="34" w:name="_Toc29549345"/>
      <w:bookmarkStart w:id="35" w:name="_Toc29549434"/>
      <w:bookmarkStart w:id="36" w:name="_Toc29544685"/>
      <w:bookmarkStart w:id="37" w:name="_Toc29549347"/>
      <w:bookmarkStart w:id="38" w:name="_Toc29549436"/>
      <w:bookmarkStart w:id="39" w:name="_Toc29544686"/>
      <w:bookmarkStart w:id="40" w:name="_Toc29549348"/>
      <w:bookmarkStart w:id="41" w:name="_Toc29549437"/>
      <w:bookmarkStart w:id="42" w:name="_Toc29544687"/>
      <w:bookmarkStart w:id="43" w:name="_Toc29549349"/>
      <w:bookmarkStart w:id="44" w:name="_Toc29549438"/>
      <w:bookmarkStart w:id="45" w:name="_Toc9366490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3D0F99">
        <w:rPr>
          <w:b/>
          <w:color w:val="62B5E5" w:themeColor="accent3"/>
          <w:sz w:val="24"/>
          <w:szCs w:val="24"/>
          <w:lang w:val="en-US"/>
        </w:rPr>
        <w:t>Expected Return</w:t>
      </w:r>
      <w:bookmarkEnd w:id="45"/>
    </w:p>
    <w:p w14:paraId="7A220CCF" w14:textId="77777777" w:rsidR="00DE754B" w:rsidRPr="003D0F99"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left="-76" w:right="144"/>
        <w:textAlignment w:val="baseline"/>
        <w:rPr>
          <w:rFonts w:asciiTheme="majorHAnsi" w:eastAsia="Times New Roman" w:hAnsiTheme="majorHAnsi" w:cs="Arial"/>
          <w:b/>
          <w:sz w:val="22"/>
          <w:szCs w:val="22"/>
        </w:rPr>
      </w:pPr>
    </w:p>
    <w:p w14:paraId="0AE40A02" w14:textId="0BF51C9C" w:rsidR="00576DEA" w:rsidRDefault="00576DEA" w:rsidP="00914952">
      <w:pPr>
        <w:tabs>
          <w:tab w:val="left" w:pos="864"/>
          <w:tab w:val="left" w:pos="1152"/>
          <w:tab w:val="left" w:pos="1728"/>
          <w:tab w:val="left" w:pos="7776"/>
          <w:tab w:val="left" w:pos="8640"/>
        </w:tabs>
        <w:overflowPunct w:val="0"/>
        <w:autoSpaceDE w:val="0"/>
        <w:autoSpaceDN w:val="0"/>
        <w:adjustRightInd w:val="0"/>
        <w:spacing w:line="240" w:lineRule="exact"/>
        <w:ind w:left="-76" w:right="144"/>
        <w:textAlignment w:val="baseline"/>
        <w:rPr>
          <w:rFonts w:asciiTheme="majorHAnsi" w:eastAsia="Times New Roman" w:hAnsiTheme="majorHAnsi" w:cs="Arial"/>
          <w:sz w:val="22"/>
          <w:szCs w:val="22"/>
        </w:rPr>
      </w:pPr>
      <w:r w:rsidRPr="003D0F99">
        <w:rPr>
          <w:rFonts w:asciiTheme="majorHAnsi" w:eastAsia="Times New Roman" w:hAnsiTheme="majorHAnsi" w:cs="Arial"/>
          <w:sz w:val="22"/>
          <w:szCs w:val="22"/>
        </w:rPr>
        <w:t xml:space="preserve">In considering the expected return from investments, the </w:t>
      </w:r>
      <w:r w:rsidR="00D158B5">
        <w:rPr>
          <w:rFonts w:asciiTheme="majorHAnsi" w:eastAsia="Times New Roman" w:hAnsiTheme="majorHAnsi" w:cs="Arial"/>
          <w:sz w:val="22"/>
          <w:szCs w:val="22"/>
        </w:rPr>
        <w:t>Trustee</w:t>
      </w:r>
      <w:r w:rsidRPr="003D0F99">
        <w:rPr>
          <w:rFonts w:asciiTheme="majorHAnsi" w:eastAsia="Times New Roman" w:hAnsiTheme="majorHAnsi" w:cs="Arial"/>
          <w:sz w:val="22"/>
          <w:szCs w:val="22"/>
        </w:rPr>
        <w:t xml:space="preserve"> recognise</w:t>
      </w:r>
      <w:r w:rsidR="00194DF2">
        <w:rPr>
          <w:rFonts w:asciiTheme="majorHAnsi" w:eastAsia="Times New Roman" w:hAnsiTheme="majorHAnsi" w:cs="Arial"/>
          <w:sz w:val="22"/>
          <w:szCs w:val="22"/>
        </w:rPr>
        <w:t>s</w:t>
      </w:r>
      <w:r w:rsidRPr="003D0F99">
        <w:rPr>
          <w:rFonts w:asciiTheme="majorHAnsi" w:eastAsia="Times New Roman" w:hAnsiTheme="majorHAnsi" w:cs="Arial"/>
          <w:sz w:val="22"/>
          <w:szCs w:val="22"/>
        </w:rPr>
        <w:t xml:space="preserve"> that different asset classes have different long-term expected returns and expected volatiliti</w:t>
      </w:r>
      <w:r>
        <w:rPr>
          <w:rFonts w:asciiTheme="majorHAnsi" w:eastAsia="Times New Roman" w:hAnsiTheme="majorHAnsi" w:cs="Arial"/>
          <w:sz w:val="22"/>
          <w:szCs w:val="22"/>
        </w:rPr>
        <w:t>es relative to the liabilities.</w:t>
      </w:r>
    </w:p>
    <w:p w14:paraId="19F34BE5" w14:textId="77777777" w:rsidR="00576DEA" w:rsidRDefault="00576DEA" w:rsidP="00D014A7">
      <w:pPr>
        <w:tabs>
          <w:tab w:val="left" w:pos="864"/>
          <w:tab w:val="left" w:pos="1152"/>
          <w:tab w:val="left" w:pos="1728"/>
          <w:tab w:val="left" w:pos="7776"/>
          <w:tab w:val="left" w:pos="8640"/>
        </w:tabs>
        <w:overflowPunct w:val="0"/>
        <w:autoSpaceDE w:val="0"/>
        <w:autoSpaceDN w:val="0"/>
        <w:adjustRightInd w:val="0"/>
        <w:spacing w:line="240" w:lineRule="exact"/>
        <w:ind w:left="-76" w:right="144"/>
        <w:textAlignment w:val="baseline"/>
        <w:rPr>
          <w:rFonts w:asciiTheme="majorHAnsi" w:eastAsia="Times New Roman" w:hAnsiTheme="majorHAnsi" w:cs="Arial"/>
          <w:sz w:val="22"/>
          <w:szCs w:val="22"/>
        </w:rPr>
      </w:pPr>
    </w:p>
    <w:p w14:paraId="09A3E1C7" w14:textId="75DC606C" w:rsidR="00576DEA" w:rsidRDefault="00DE754B" w:rsidP="00D014A7">
      <w:pPr>
        <w:tabs>
          <w:tab w:val="left" w:pos="864"/>
          <w:tab w:val="left" w:pos="1152"/>
          <w:tab w:val="left" w:pos="1728"/>
          <w:tab w:val="left" w:pos="7776"/>
          <w:tab w:val="left" w:pos="8640"/>
        </w:tabs>
        <w:overflowPunct w:val="0"/>
        <w:autoSpaceDE w:val="0"/>
        <w:autoSpaceDN w:val="0"/>
        <w:adjustRightInd w:val="0"/>
        <w:spacing w:line="240" w:lineRule="exact"/>
        <w:ind w:left="-76" w:right="144"/>
        <w:textAlignment w:val="baseline"/>
        <w:rPr>
          <w:rFonts w:asciiTheme="majorHAnsi" w:eastAsia="Times New Roman" w:hAnsiTheme="majorHAnsi" w:cs="Arial"/>
          <w:sz w:val="22"/>
          <w:szCs w:val="22"/>
        </w:rPr>
      </w:pPr>
      <w:r w:rsidRPr="003D0F99">
        <w:rPr>
          <w:rFonts w:asciiTheme="majorHAnsi" w:eastAsia="Times New Roman" w:hAnsiTheme="majorHAnsi" w:cs="Arial"/>
          <w:sz w:val="22"/>
          <w:szCs w:val="22"/>
        </w:rPr>
        <w:t xml:space="preserve">The </w:t>
      </w:r>
      <w:r w:rsidR="00D158B5">
        <w:rPr>
          <w:rFonts w:asciiTheme="majorHAnsi" w:eastAsia="Times New Roman" w:hAnsiTheme="majorHAnsi" w:cs="Arial"/>
          <w:sz w:val="22"/>
          <w:szCs w:val="22"/>
        </w:rPr>
        <w:t>Trustee</w:t>
      </w:r>
      <w:r w:rsidRPr="003D0F99">
        <w:rPr>
          <w:rFonts w:asciiTheme="majorHAnsi" w:eastAsia="Times New Roman" w:hAnsiTheme="majorHAnsi" w:cs="Arial"/>
          <w:sz w:val="22"/>
          <w:szCs w:val="22"/>
        </w:rPr>
        <w:t xml:space="preserve"> expect</w:t>
      </w:r>
      <w:r w:rsidR="00194DF2">
        <w:rPr>
          <w:rFonts w:asciiTheme="majorHAnsi" w:eastAsia="Times New Roman" w:hAnsiTheme="majorHAnsi" w:cs="Arial"/>
          <w:sz w:val="22"/>
          <w:szCs w:val="22"/>
        </w:rPr>
        <w:t>s</w:t>
      </w:r>
      <w:r w:rsidRPr="003D0F99">
        <w:rPr>
          <w:rFonts w:asciiTheme="majorHAnsi" w:eastAsia="Times New Roman" w:hAnsiTheme="majorHAnsi" w:cs="Arial"/>
          <w:sz w:val="22"/>
          <w:szCs w:val="22"/>
        </w:rPr>
        <w:t xml:space="preserve"> that over the long-term, the investment strategy selected will deliver a return that meets the return assumptions used by the Scheme Actuary in the Actuarial Valuation</w:t>
      </w:r>
      <w:r w:rsidR="00616250">
        <w:rPr>
          <w:rFonts w:asciiTheme="majorHAnsi" w:eastAsia="Times New Roman" w:hAnsiTheme="majorHAnsi" w:cs="Arial"/>
          <w:sz w:val="22"/>
          <w:szCs w:val="22"/>
        </w:rPr>
        <w:t xml:space="preserve"> after allowing for a degree of prudence</w:t>
      </w:r>
      <w:r w:rsidRPr="003D0F99">
        <w:rPr>
          <w:rFonts w:asciiTheme="majorHAnsi" w:eastAsia="Times New Roman" w:hAnsiTheme="majorHAnsi" w:cs="Arial"/>
          <w:sz w:val="22"/>
          <w:szCs w:val="22"/>
        </w:rPr>
        <w:t>.</w:t>
      </w:r>
    </w:p>
    <w:p w14:paraId="2AD9820C" w14:textId="4B88CC9C" w:rsidR="00576DEA" w:rsidRPr="00D014A7" w:rsidRDefault="00576DEA" w:rsidP="00D014A7">
      <w:pPr>
        <w:pStyle w:val="Heading1"/>
        <w:numPr>
          <w:ilvl w:val="0"/>
          <w:numId w:val="15"/>
        </w:numPr>
        <w:rPr>
          <w:b/>
          <w:color w:val="62B5E5" w:themeColor="accent3"/>
          <w:sz w:val="24"/>
          <w:szCs w:val="24"/>
          <w:lang w:val="en-US"/>
        </w:rPr>
      </w:pPr>
      <w:bookmarkStart w:id="46" w:name="_Toc43378610"/>
      <w:bookmarkStart w:id="47" w:name="_Toc93664902"/>
      <w:bookmarkEnd w:id="46"/>
      <w:r w:rsidRPr="00D014A7">
        <w:rPr>
          <w:b/>
          <w:color w:val="62B5E5" w:themeColor="accent3"/>
          <w:sz w:val="24"/>
          <w:szCs w:val="24"/>
          <w:lang w:val="en-US"/>
        </w:rPr>
        <w:lastRenderedPageBreak/>
        <w:t>Monitoring Investments</w:t>
      </w:r>
      <w:bookmarkEnd w:id="47"/>
    </w:p>
    <w:p w14:paraId="398A47C3" w14:textId="77777777" w:rsidR="00CD27E8" w:rsidRDefault="00CD27E8" w:rsidP="001402BA">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66075DD6" w14:textId="17E36AB7" w:rsidR="00CD27E8" w:rsidRPr="00C618A6" w:rsidRDefault="00CD27E8" w:rsidP="00CD27E8">
      <w:pPr>
        <w:pStyle w:val="BodyText2"/>
        <w:widowControl/>
        <w:spacing w:after="240" w:line="240" w:lineRule="auto"/>
        <w:rPr>
          <w:rFonts w:asciiTheme="minorHAnsi" w:hAnsiTheme="minorHAnsi"/>
          <w:sz w:val="22"/>
          <w:szCs w:val="22"/>
        </w:rPr>
      </w:pPr>
      <w:r w:rsidRPr="00C618A6">
        <w:rPr>
          <w:rFonts w:asciiTheme="minorHAnsi" w:hAnsiTheme="minorHAnsi"/>
          <w:sz w:val="22"/>
          <w:szCs w:val="22"/>
        </w:rPr>
        <w:t xml:space="preserve">The Trustee receives </w:t>
      </w:r>
      <w:r>
        <w:rPr>
          <w:rFonts w:asciiTheme="minorHAnsi" w:hAnsiTheme="minorHAnsi"/>
          <w:sz w:val="22"/>
          <w:szCs w:val="22"/>
        </w:rPr>
        <w:t>bi</w:t>
      </w:r>
      <w:r w:rsidR="00113524">
        <w:rPr>
          <w:rFonts w:asciiTheme="minorHAnsi" w:hAnsiTheme="minorHAnsi"/>
          <w:sz w:val="22"/>
          <w:szCs w:val="22"/>
        </w:rPr>
        <w:t>-</w:t>
      </w:r>
      <w:r>
        <w:rPr>
          <w:rFonts w:asciiTheme="minorHAnsi" w:hAnsiTheme="minorHAnsi"/>
          <w:sz w:val="22"/>
          <w:szCs w:val="22"/>
        </w:rPr>
        <w:t>annual</w:t>
      </w:r>
      <w:r w:rsidRPr="00C618A6">
        <w:rPr>
          <w:rFonts w:asciiTheme="minorHAnsi" w:hAnsiTheme="minorHAnsi"/>
          <w:sz w:val="22"/>
          <w:szCs w:val="22"/>
        </w:rPr>
        <w:t xml:space="preserve"> monitoring reports from its advisors showing:</w:t>
      </w:r>
    </w:p>
    <w:p w14:paraId="43A7B5A1" w14:textId="64041BEF" w:rsidR="00CD27E8" w:rsidRDefault="00CD27E8" w:rsidP="00CD27E8">
      <w:pPr>
        <w:pStyle w:val="BodyText2"/>
        <w:widowControl/>
        <w:numPr>
          <w:ilvl w:val="0"/>
          <w:numId w:val="46"/>
        </w:numPr>
        <w:tabs>
          <w:tab w:val="clear" w:pos="720"/>
          <w:tab w:val="num" w:pos="360"/>
        </w:tabs>
        <w:spacing w:after="240" w:line="240" w:lineRule="auto"/>
        <w:ind w:left="360"/>
        <w:rPr>
          <w:rFonts w:asciiTheme="minorHAnsi" w:hAnsiTheme="minorHAnsi"/>
          <w:sz w:val="22"/>
          <w:szCs w:val="22"/>
        </w:rPr>
      </w:pPr>
      <w:r>
        <w:rPr>
          <w:rFonts w:asciiTheme="minorHAnsi" w:hAnsiTheme="minorHAnsi"/>
          <w:sz w:val="22"/>
          <w:szCs w:val="22"/>
        </w:rPr>
        <w:t xml:space="preserve">estimated funding level on </w:t>
      </w:r>
      <w:r w:rsidR="00113524">
        <w:rPr>
          <w:rFonts w:asciiTheme="minorHAnsi" w:hAnsiTheme="minorHAnsi"/>
          <w:sz w:val="22"/>
          <w:szCs w:val="22"/>
        </w:rPr>
        <w:t xml:space="preserve">each of </w:t>
      </w:r>
      <w:r>
        <w:rPr>
          <w:rFonts w:asciiTheme="minorHAnsi" w:hAnsiTheme="minorHAnsi"/>
          <w:sz w:val="22"/>
          <w:szCs w:val="22"/>
        </w:rPr>
        <w:t>the Technical Provisions basis</w:t>
      </w:r>
      <w:r w:rsidR="00113524">
        <w:rPr>
          <w:rFonts w:asciiTheme="minorHAnsi" w:hAnsiTheme="minorHAnsi"/>
          <w:sz w:val="22"/>
          <w:szCs w:val="22"/>
        </w:rPr>
        <w:t>, lo</w:t>
      </w:r>
      <w:r w:rsidR="00531951">
        <w:rPr>
          <w:rFonts w:asciiTheme="minorHAnsi" w:hAnsiTheme="minorHAnsi"/>
          <w:sz w:val="22"/>
          <w:szCs w:val="22"/>
        </w:rPr>
        <w:t>w-risk</w:t>
      </w:r>
      <w:r w:rsidR="00113524">
        <w:rPr>
          <w:rFonts w:asciiTheme="minorHAnsi" w:hAnsiTheme="minorHAnsi"/>
          <w:sz w:val="22"/>
          <w:szCs w:val="22"/>
        </w:rPr>
        <w:t xml:space="preserve"> basis</w:t>
      </w:r>
      <w:r w:rsidR="00531951">
        <w:rPr>
          <w:rFonts w:asciiTheme="minorHAnsi" w:hAnsiTheme="minorHAnsi"/>
          <w:sz w:val="22"/>
          <w:szCs w:val="22"/>
        </w:rPr>
        <w:t xml:space="preserve"> of gilts+0.5% p.a.</w:t>
      </w:r>
      <w:r>
        <w:rPr>
          <w:rFonts w:asciiTheme="minorHAnsi" w:hAnsiTheme="minorHAnsi"/>
          <w:sz w:val="22"/>
          <w:szCs w:val="22"/>
        </w:rPr>
        <w:t xml:space="preserve"> and</w:t>
      </w:r>
      <w:r w:rsidR="00531951">
        <w:rPr>
          <w:rFonts w:asciiTheme="minorHAnsi" w:hAnsiTheme="minorHAnsi"/>
          <w:sz w:val="22"/>
          <w:szCs w:val="22"/>
        </w:rPr>
        <w:t xml:space="preserve"> a</w:t>
      </w:r>
      <w:r w:rsidR="00113524">
        <w:rPr>
          <w:rFonts w:asciiTheme="minorHAnsi" w:hAnsiTheme="minorHAnsi"/>
          <w:sz w:val="22"/>
          <w:szCs w:val="22"/>
        </w:rPr>
        <w:t xml:space="preserve"> proxy</w:t>
      </w:r>
      <w:r>
        <w:rPr>
          <w:rFonts w:asciiTheme="minorHAnsi" w:hAnsiTheme="minorHAnsi"/>
          <w:sz w:val="22"/>
          <w:szCs w:val="22"/>
        </w:rPr>
        <w:t xml:space="preserve"> buy out basis;</w:t>
      </w:r>
    </w:p>
    <w:p w14:paraId="13EFC7FE" w14:textId="77777777" w:rsidR="00CD27E8" w:rsidRDefault="00CD27E8" w:rsidP="00CD27E8">
      <w:pPr>
        <w:pStyle w:val="BodyText2"/>
        <w:widowControl/>
        <w:numPr>
          <w:ilvl w:val="0"/>
          <w:numId w:val="46"/>
        </w:numPr>
        <w:tabs>
          <w:tab w:val="clear" w:pos="720"/>
          <w:tab w:val="num" w:pos="360"/>
        </w:tabs>
        <w:spacing w:after="240" w:line="240" w:lineRule="auto"/>
        <w:ind w:left="360"/>
        <w:rPr>
          <w:rFonts w:asciiTheme="minorHAnsi" w:hAnsiTheme="minorHAnsi"/>
          <w:sz w:val="22"/>
          <w:szCs w:val="22"/>
        </w:rPr>
      </w:pPr>
      <w:r>
        <w:rPr>
          <w:rFonts w:asciiTheme="minorHAnsi" w:hAnsiTheme="minorHAnsi"/>
          <w:sz w:val="22"/>
          <w:szCs w:val="22"/>
        </w:rPr>
        <w:t>estimated time to buy out;</w:t>
      </w:r>
    </w:p>
    <w:p w14:paraId="70D82154" w14:textId="521261AC" w:rsidR="00CD27E8" w:rsidRDefault="00CD27E8" w:rsidP="00CD27E8">
      <w:pPr>
        <w:pStyle w:val="BodyText2"/>
        <w:widowControl/>
        <w:numPr>
          <w:ilvl w:val="0"/>
          <w:numId w:val="46"/>
        </w:numPr>
        <w:tabs>
          <w:tab w:val="clear" w:pos="720"/>
          <w:tab w:val="num" w:pos="360"/>
        </w:tabs>
        <w:spacing w:after="240" w:line="240" w:lineRule="auto"/>
        <w:ind w:left="360"/>
        <w:rPr>
          <w:rFonts w:asciiTheme="minorHAnsi" w:hAnsiTheme="minorHAnsi"/>
          <w:sz w:val="22"/>
          <w:szCs w:val="22"/>
        </w:rPr>
      </w:pPr>
      <w:r>
        <w:rPr>
          <w:rFonts w:asciiTheme="minorHAnsi" w:hAnsiTheme="minorHAnsi"/>
          <w:sz w:val="22"/>
          <w:szCs w:val="22"/>
        </w:rPr>
        <w:t>risk analysis including 1 year 95% Value at Risk;</w:t>
      </w:r>
    </w:p>
    <w:p w14:paraId="2639E472" w14:textId="38F6C086" w:rsidR="00CD27E8" w:rsidRDefault="00CD27E8" w:rsidP="00CD27E8">
      <w:pPr>
        <w:pStyle w:val="BodyText2"/>
        <w:widowControl/>
        <w:numPr>
          <w:ilvl w:val="0"/>
          <w:numId w:val="46"/>
        </w:numPr>
        <w:tabs>
          <w:tab w:val="clear" w:pos="720"/>
          <w:tab w:val="num" w:pos="360"/>
        </w:tabs>
        <w:spacing w:after="240" w:line="240" w:lineRule="auto"/>
        <w:ind w:left="360"/>
        <w:rPr>
          <w:rFonts w:asciiTheme="minorHAnsi" w:hAnsiTheme="minorHAnsi"/>
          <w:sz w:val="22"/>
          <w:szCs w:val="22"/>
        </w:rPr>
      </w:pPr>
      <w:r>
        <w:rPr>
          <w:rFonts w:asciiTheme="minorHAnsi" w:hAnsiTheme="minorHAnsi"/>
          <w:sz w:val="22"/>
          <w:szCs w:val="22"/>
        </w:rPr>
        <w:t>analysis of interest rate and inflation hedging positions;</w:t>
      </w:r>
    </w:p>
    <w:p w14:paraId="6D44A407" w14:textId="2CA5D1F3" w:rsidR="00CD27E8" w:rsidRPr="00CD27E8" w:rsidRDefault="00CD27E8" w:rsidP="00CD27E8">
      <w:pPr>
        <w:pStyle w:val="BodyText2"/>
        <w:widowControl/>
        <w:numPr>
          <w:ilvl w:val="0"/>
          <w:numId w:val="46"/>
        </w:numPr>
        <w:tabs>
          <w:tab w:val="clear" w:pos="720"/>
          <w:tab w:val="num" w:pos="360"/>
        </w:tabs>
        <w:spacing w:after="240" w:line="240" w:lineRule="auto"/>
        <w:ind w:left="360"/>
        <w:rPr>
          <w:rFonts w:asciiTheme="minorHAnsi" w:hAnsiTheme="minorHAnsi"/>
          <w:sz w:val="22"/>
          <w:szCs w:val="22"/>
        </w:rPr>
      </w:pPr>
      <w:r>
        <w:rPr>
          <w:rFonts w:asciiTheme="minorHAnsi" w:hAnsiTheme="minorHAnsi"/>
          <w:sz w:val="22"/>
          <w:szCs w:val="22"/>
        </w:rPr>
        <w:t>asset allocation relative to strategic benchmark position;</w:t>
      </w:r>
    </w:p>
    <w:p w14:paraId="2E838D5A" w14:textId="7E4C5113" w:rsidR="00CD27E8" w:rsidRPr="00C618A6" w:rsidRDefault="00CD27E8" w:rsidP="00CD27E8">
      <w:pPr>
        <w:pStyle w:val="BodyText2"/>
        <w:widowControl/>
        <w:numPr>
          <w:ilvl w:val="0"/>
          <w:numId w:val="46"/>
        </w:numPr>
        <w:tabs>
          <w:tab w:val="clear" w:pos="720"/>
          <w:tab w:val="num" w:pos="360"/>
        </w:tabs>
        <w:spacing w:after="240" w:line="240" w:lineRule="auto"/>
        <w:ind w:left="360"/>
        <w:rPr>
          <w:rFonts w:asciiTheme="minorHAnsi" w:hAnsiTheme="minorHAnsi"/>
          <w:sz w:val="22"/>
          <w:szCs w:val="22"/>
        </w:rPr>
      </w:pPr>
      <w:r w:rsidRPr="00C618A6">
        <w:rPr>
          <w:rFonts w:asciiTheme="minorHAnsi" w:hAnsiTheme="minorHAnsi"/>
          <w:sz w:val="22"/>
          <w:szCs w:val="22"/>
        </w:rPr>
        <w:t xml:space="preserve">performance for the </w:t>
      </w:r>
      <w:r>
        <w:rPr>
          <w:rFonts w:asciiTheme="minorHAnsi" w:hAnsiTheme="minorHAnsi"/>
          <w:sz w:val="22"/>
          <w:szCs w:val="22"/>
        </w:rPr>
        <w:t>a</w:t>
      </w:r>
      <w:r w:rsidRPr="00C618A6">
        <w:rPr>
          <w:rFonts w:asciiTheme="minorHAnsi" w:hAnsiTheme="minorHAnsi"/>
          <w:sz w:val="22"/>
          <w:szCs w:val="22"/>
        </w:rPr>
        <w:t>ssets in totality and for individual pooled investment vehicles versus their respective benchmarks</w:t>
      </w:r>
      <w:r>
        <w:rPr>
          <w:rFonts w:asciiTheme="minorHAnsi" w:hAnsiTheme="minorHAnsi"/>
          <w:sz w:val="22"/>
          <w:szCs w:val="22"/>
        </w:rPr>
        <w:t>;</w:t>
      </w:r>
    </w:p>
    <w:p w14:paraId="07D276A9" w14:textId="77777777" w:rsidR="00CD27E8" w:rsidRPr="00C618A6" w:rsidRDefault="00CD27E8" w:rsidP="00CD27E8">
      <w:pPr>
        <w:pStyle w:val="BodyText2"/>
        <w:widowControl/>
        <w:numPr>
          <w:ilvl w:val="0"/>
          <w:numId w:val="46"/>
        </w:numPr>
        <w:tabs>
          <w:tab w:val="clear" w:pos="720"/>
          <w:tab w:val="num" w:pos="360"/>
        </w:tabs>
        <w:spacing w:after="240" w:line="240" w:lineRule="auto"/>
        <w:ind w:left="354" w:hanging="357"/>
        <w:rPr>
          <w:rFonts w:asciiTheme="minorHAnsi" w:hAnsiTheme="minorHAnsi"/>
          <w:sz w:val="22"/>
          <w:szCs w:val="22"/>
        </w:rPr>
      </w:pPr>
      <w:r w:rsidRPr="00C618A6">
        <w:rPr>
          <w:rFonts w:asciiTheme="minorHAnsi" w:hAnsiTheme="minorHAnsi"/>
          <w:sz w:val="22"/>
          <w:szCs w:val="22"/>
        </w:rPr>
        <w:t xml:space="preserve">any significant issues with the pooled investment vehicles </w:t>
      </w:r>
      <w:r>
        <w:rPr>
          <w:rFonts w:asciiTheme="minorHAnsi" w:hAnsiTheme="minorHAnsi"/>
          <w:sz w:val="22"/>
          <w:szCs w:val="22"/>
        </w:rPr>
        <w:t xml:space="preserve">or LGIM </w:t>
      </w:r>
      <w:r w:rsidRPr="00C618A6">
        <w:rPr>
          <w:rFonts w:asciiTheme="minorHAnsi" w:hAnsiTheme="minorHAnsi"/>
          <w:sz w:val="22"/>
          <w:szCs w:val="22"/>
        </w:rPr>
        <w:t>that may impact their ability to meet the performance targets set by the Trustee</w:t>
      </w:r>
      <w:r>
        <w:rPr>
          <w:rFonts w:asciiTheme="minorHAnsi" w:hAnsiTheme="minorHAnsi"/>
          <w:sz w:val="22"/>
          <w:szCs w:val="22"/>
        </w:rPr>
        <w:t xml:space="preserve"> for the Scheme.</w:t>
      </w:r>
    </w:p>
    <w:p w14:paraId="4D3C8D16" w14:textId="0BB74817" w:rsidR="003D0F99" w:rsidRDefault="003D0F99" w:rsidP="00D014A7">
      <w:pPr>
        <w:tabs>
          <w:tab w:val="left" w:pos="864"/>
          <w:tab w:val="left" w:pos="1152"/>
          <w:tab w:val="left" w:pos="1728"/>
          <w:tab w:val="left" w:pos="7776"/>
          <w:tab w:val="left" w:pos="8640"/>
        </w:tabs>
        <w:overflowPunct w:val="0"/>
        <w:autoSpaceDE w:val="0"/>
        <w:autoSpaceDN w:val="0"/>
        <w:adjustRightInd w:val="0"/>
        <w:spacing w:line="240" w:lineRule="exact"/>
        <w:ind w:left="-76" w:right="144"/>
        <w:textAlignment w:val="baseline"/>
        <w:rPr>
          <w:rFonts w:asciiTheme="majorHAnsi" w:eastAsia="Times New Roman" w:hAnsiTheme="majorHAnsi" w:cs="Arial"/>
          <w:sz w:val="22"/>
          <w:szCs w:val="22"/>
        </w:rPr>
      </w:pPr>
      <w:r w:rsidRPr="003D0F99">
        <w:rPr>
          <w:rFonts w:asciiTheme="majorHAnsi" w:eastAsia="Times New Roman" w:hAnsiTheme="majorHAnsi" w:cs="Arial"/>
          <w:sz w:val="22"/>
          <w:szCs w:val="22"/>
        </w:rPr>
        <w:t xml:space="preserve">The </w:t>
      </w:r>
      <w:r w:rsidR="00D158B5">
        <w:rPr>
          <w:rFonts w:asciiTheme="majorHAnsi" w:eastAsia="Times New Roman" w:hAnsiTheme="majorHAnsi" w:cs="Arial"/>
          <w:sz w:val="22"/>
          <w:szCs w:val="22"/>
        </w:rPr>
        <w:t>Trustee</w:t>
      </w:r>
      <w:r w:rsidRPr="003D0F99">
        <w:rPr>
          <w:rFonts w:asciiTheme="majorHAnsi" w:eastAsia="Times New Roman" w:hAnsiTheme="majorHAnsi" w:cs="Arial"/>
          <w:sz w:val="22"/>
          <w:szCs w:val="22"/>
        </w:rPr>
        <w:t xml:space="preserve"> meet</w:t>
      </w:r>
      <w:r w:rsidR="00C520F8">
        <w:rPr>
          <w:rFonts w:asciiTheme="majorHAnsi" w:eastAsia="Times New Roman" w:hAnsiTheme="majorHAnsi" w:cs="Arial"/>
          <w:sz w:val="22"/>
          <w:szCs w:val="22"/>
        </w:rPr>
        <w:t>s</w:t>
      </w:r>
      <w:r w:rsidRPr="003D0F99">
        <w:rPr>
          <w:rFonts w:asciiTheme="majorHAnsi" w:eastAsia="Times New Roman" w:hAnsiTheme="majorHAnsi" w:cs="Arial"/>
          <w:sz w:val="22"/>
          <w:szCs w:val="22"/>
        </w:rPr>
        <w:t xml:space="preserve"> the </w:t>
      </w:r>
      <w:r w:rsidR="00370B05">
        <w:rPr>
          <w:rFonts w:asciiTheme="majorHAnsi" w:eastAsia="Times New Roman" w:hAnsiTheme="majorHAnsi" w:cs="Arial"/>
          <w:sz w:val="22"/>
          <w:szCs w:val="22"/>
        </w:rPr>
        <w:t>Scheme</w:t>
      </w:r>
      <w:r w:rsidRPr="003D0F99">
        <w:rPr>
          <w:rFonts w:asciiTheme="majorHAnsi" w:eastAsia="Times New Roman" w:hAnsiTheme="majorHAnsi" w:cs="Arial"/>
          <w:sz w:val="22"/>
          <w:szCs w:val="22"/>
        </w:rPr>
        <w:t xml:space="preserve">’s </w:t>
      </w:r>
      <w:r w:rsidR="00194DF2">
        <w:rPr>
          <w:rFonts w:asciiTheme="majorHAnsi" w:eastAsia="Times New Roman" w:hAnsiTheme="majorHAnsi" w:cs="Arial"/>
          <w:sz w:val="22"/>
          <w:szCs w:val="22"/>
        </w:rPr>
        <w:t>investment</w:t>
      </w:r>
      <w:r w:rsidR="00194DF2" w:rsidRPr="003D0F99">
        <w:rPr>
          <w:rFonts w:asciiTheme="majorHAnsi" w:eastAsia="Times New Roman" w:hAnsiTheme="majorHAnsi" w:cs="Arial"/>
          <w:sz w:val="22"/>
          <w:szCs w:val="22"/>
        </w:rPr>
        <w:t xml:space="preserve"> </w:t>
      </w:r>
      <w:r w:rsidRPr="003D0F99">
        <w:rPr>
          <w:rFonts w:asciiTheme="majorHAnsi" w:eastAsia="Times New Roman" w:hAnsiTheme="majorHAnsi" w:cs="Arial"/>
          <w:sz w:val="22"/>
          <w:szCs w:val="22"/>
        </w:rPr>
        <w:t>manager</w:t>
      </w:r>
      <w:r w:rsidR="00194DF2">
        <w:rPr>
          <w:rFonts w:asciiTheme="majorHAnsi" w:eastAsia="Times New Roman" w:hAnsiTheme="majorHAnsi" w:cs="Arial"/>
          <w:sz w:val="22"/>
          <w:szCs w:val="22"/>
        </w:rPr>
        <w:t xml:space="preserve"> </w:t>
      </w:r>
      <w:r w:rsidRPr="003D0F99">
        <w:rPr>
          <w:rFonts w:asciiTheme="majorHAnsi" w:eastAsia="Times New Roman" w:hAnsiTheme="majorHAnsi" w:cs="Arial"/>
          <w:sz w:val="22"/>
          <w:szCs w:val="22"/>
        </w:rPr>
        <w:t>as frequently as is appropriate</w:t>
      </w:r>
      <w:r w:rsidR="00576DEA">
        <w:rPr>
          <w:rFonts w:asciiTheme="majorHAnsi" w:eastAsia="Times New Roman" w:hAnsiTheme="majorHAnsi" w:cs="Arial"/>
          <w:sz w:val="22"/>
          <w:szCs w:val="22"/>
        </w:rPr>
        <w:t xml:space="preserve"> </w:t>
      </w:r>
      <w:r w:rsidRPr="003D0F99">
        <w:rPr>
          <w:rFonts w:asciiTheme="majorHAnsi" w:eastAsia="Times New Roman" w:hAnsiTheme="majorHAnsi" w:cs="Arial"/>
          <w:sz w:val="22"/>
          <w:szCs w:val="22"/>
        </w:rPr>
        <w:t xml:space="preserve">in order to review performance. </w:t>
      </w:r>
    </w:p>
    <w:p w14:paraId="27999ABC" w14:textId="160BD89D" w:rsidR="004B7C88" w:rsidRDefault="004B7C88">
      <w:pPr>
        <w:rPr>
          <w:rFonts w:asciiTheme="majorHAnsi" w:eastAsia="Times New Roman" w:hAnsiTheme="majorHAnsi" w:cs="Arial"/>
          <w:sz w:val="22"/>
          <w:szCs w:val="22"/>
          <w:highlight w:val="yellow"/>
        </w:rPr>
      </w:pPr>
    </w:p>
    <w:p w14:paraId="1A5C7942" w14:textId="77777777" w:rsidR="00576DEA" w:rsidRPr="00DE754B" w:rsidRDefault="00576DEA" w:rsidP="00D014A7">
      <w:pPr>
        <w:pStyle w:val="Heading1"/>
        <w:numPr>
          <w:ilvl w:val="0"/>
          <w:numId w:val="15"/>
        </w:numPr>
        <w:rPr>
          <w:b/>
          <w:color w:val="62B5E5" w:themeColor="accent3"/>
          <w:sz w:val="24"/>
          <w:szCs w:val="24"/>
          <w:lang w:val="en-US"/>
        </w:rPr>
      </w:pPr>
      <w:bookmarkStart w:id="48" w:name="_Toc45282040"/>
      <w:bookmarkStart w:id="49" w:name="_Toc45282041"/>
      <w:bookmarkStart w:id="50" w:name="_Toc45282042"/>
      <w:bookmarkStart w:id="51" w:name="_Toc45282043"/>
      <w:bookmarkStart w:id="52" w:name="_Toc45282044"/>
      <w:bookmarkStart w:id="53" w:name="_Toc45282045"/>
      <w:bookmarkStart w:id="54" w:name="_Toc93664903"/>
      <w:bookmarkEnd w:id="48"/>
      <w:bookmarkEnd w:id="49"/>
      <w:bookmarkEnd w:id="50"/>
      <w:bookmarkEnd w:id="51"/>
      <w:bookmarkEnd w:id="52"/>
      <w:bookmarkEnd w:id="53"/>
      <w:r w:rsidRPr="00DE754B">
        <w:rPr>
          <w:b/>
          <w:color w:val="62B5E5" w:themeColor="accent3"/>
          <w:sz w:val="24"/>
          <w:szCs w:val="24"/>
          <w:lang w:val="en-US"/>
        </w:rPr>
        <w:t>Realisation of Investments</w:t>
      </w:r>
      <w:bookmarkEnd w:id="54"/>
    </w:p>
    <w:p w14:paraId="517622EB" w14:textId="77777777" w:rsidR="00576DEA" w:rsidRDefault="00576DEA" w:rsidP="00576DEA">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3C267241" w14:textId="56ABA6BE" w:rsidR="00576DEA" w:rsidRPr="00994653" w:rsidRDefault="00576DEA" w:rsidP="00576DEA">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994653">
        <w:rPr>
          <w:rFonts w:asciiTheme="majorHAnsi" w:eastAsia="Times New Roman" w:hAnsiTheme="majorHAnsi" w:cs="Arial"/>
          <w:sz w:val="22"/>
          <w:szCs w:val="22"/>
        </w:rPr>
        <w:t xml:space="preserve">The </w:t>
      </w:r>
      <w:r w:rsidR="00D158B5">
        <w:rPr>
          <w:rFonts w:asciiTheme="majorHAnsi" w:eastAsia="Times New Roman" w:hAnsiTheme="majorHAnsi" w:cs="Arial"/>
          <w:sz w:val="22"/>
          <w:szCs w:val="22"/>
        </w:rPr>
        <w:t>Trustee</w:t>
      </w:r>
      <w:r>
        <w:rPr>
          <w:rFonts w:asciiTheme="majorHAnsi" w:eastAsia="Times New Roman" w:hAnsiTheme="majorHAnsi" w:cs="Arial"/>
          <w:sz w:val="22"/>
          <w:szCs w:val="22"/>
        </w:rPr>
        <w:t>’</w:t>
      </w:r>
      <w:r w:rsidR="00C8376C">
        <w:rPr>
          <w:rFonts w:asciiTheme="majorHAnsi" w:eastAsia="Times New Roman" w:hAnsiTheme="majorHAnsi" w:cs="Arial"/>
          <w:sz w:val="22"/>
          <w:szCs w:val="22"/>
        </w:rPr>
        <w:t>s</w:t>
      </w:r>
      <w:r w:rsidRPr="00994653">
        <w:rPr>
          <w:rFonts w:asciiTheme="majorHAnsi" w:eastAsia="Times New Roman" w:hAnsiTheme="majorHAnsi" w:cs="Arial"/>
          <w:sz w:val="22"/>
          <w:szCs w:val="22"/>
        </w:rPr>
        <w:t xml:space="preserve"> policy in relation to the retention and realisation of investments is that:</w:t>
      </w:r>
    </w:p>
    <w:p w14:paraId="29F9FC22" w14:textId="3B17B6D0" w:rsidR="00576DEA" w:rsidRDefault="00576DEA" w:rsidP="00576DEA">
      <w:pPr>
        <w:pStyle w:val="ListParagraph"/>
        <w:numPr>
          <w:ilvl w:val="0"/>
          <w:numId w:val="21"/>
        </w:num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I</w:t>
      </w:r>
      <w:r w:rsidRPr="00994653">
        <w:rPr>
          <w:rFonts w:asciiTheme="majorHAnsi" w:eastAsia="Times New Roman" w:hAnsiTheme="majorHAnsi" w:cs="Arial"/>
          <w:sz w:val="22"/>
          <w:szCs w:val="22"/>
        </w:rPr>
        <w:t xml:space="preserve">nvestments should be retained and realised at a time considered by the </w:t>
      </w:r>
      <w:r w:rsidR="00D158B5">
        <w:rPr>
          <w:rFonts w:asciiTheme="majorHAnsi" w:eastAsia="Times New Roman" w:hAnsiTheme="majorHAnsi" w:cs="Arial"/>
          <w:sz w:val="22"/>
          <w:szCs w:val="22"/>
        </w:rPr>
        <w:t>Trustee</w:t>
      </w:r>
      <w:r w:rsidRPr="00994653">
        <w:rPr>
          <w:rFonts w:asciiTheme="majorHAnsi" w:eastAsia="Times New Roman" w:hAnsiTheme="majorHAnsi" w:cs="Arial"/>
          <w:sz w:val="22"/>
          <w:szCs w:val="22"/>
        </w:rPr>
        <w:t xml:space="preserve"> after obtaining proper advice</w:t>
      </w:r>
      <w:r>
        <w:rPr>
          <w:rFonts w:asciiTheme="majorHAnsi" w:eastAsia="Times New Roman" w:hAnsiTheme="majorHAnsi" w:cs="Arial"/>
          <w:sz w:val="22"/>
          <w:szCs w:val="22"/>
        </w:rPr>
        <w:t>,</w:t>
      </w:r>
      <w:r w:rsidRPr="00994653">
        <w:rPr>
          <w:rFonts w:asciiTheme="majorHAnsi" w:eastAsia="Times New Roman" w:hAnsiTheme="majorHAnsi" w:cs="Arial"/>
          <w:sz w:val="22"/>
          <w:szCs w:val="22"/>
        </w:rPr>
        <w:t xml:space="preserve"> unless earlier realisation is required or considered advisable as part of the overall risk management of</w:t>
      </w:r>
      <w:r>
        <w:rPr>
          <w:rFonts w:asciiTheme="majorHAnsi" w:eastAsia="Times New Roman" w:hAnsiTheme="majorHAnsi" w:cs="Arial"/>
          <w:sz w:val="22"/>
          <w:szCs w:val="22"/>
        </w:rPr>
        <w:t xml:space="preserve"> the </w:t>
      </w:r>
      <w:r w:rsidR="00221E8F">
        <w:rPr>
          <w:rFonts w:asciiTheme="majorHAnsi" w:eastAsia="Times New Roman" w:hAnsiTheme="majorHAnsi" w:cs="Arial"/>
          <w:sz w:val="22"/>
          <w:szCs w:val="22"/>
        </w:rPr>
        <w:t>Scheme</w:t>
      </w:r>
      <w:r w:rsidRPr="00994653">
        <w:rPr>
          <w:rFonts w:asciiTheme="majorHAnsi" w:eastAsia="Times New Roman" w:hAnsiTheme="majorHAnsi" w:cs="Arial"/>
          <w:sz w:val="22"/>
          <w:szCs w:val="22"/>
        </w:rPr>
        <w:t xml:space="preserve"> or is otherwise required to be realised to meet benefit payments or transfer values.</w:t>
      </w:r>
    </w:p>
    <w:p w14:paraId="764A79FE" w14:textId="2F0BF791" w:rsidR="00576DEA" w:rsidRDefault="00576DEA" w:rsidP="00576DEA">
      <w:pPr>
        <w:pStyle w:val="ListParagraph"/>
        <w:numPr>
          <w:ilvl w:val="0"/>
          <w:numId w:val="21"/>
        </w:num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I</w:t>
      </w:r>
      <w:r w:rsidRPr="00994653">
        <w:rPr>
          <w:rFonts w:asciiTheme="majorHAnsi" w:eastAsia="Times New Roman" w:hAnsiTheme="majorHAnsi" w:cs="Arial"/>
          <w:sz w:val="22"/>
          <w:szCs w:val="22"/>
        </w:rPr>
        <w:t>n retaining an</w:t>
      </w:r>
      <w:r>
        <w:rPr>
          <w:rFonts w:asciiTheme="majorHAnsi" w:eastAsia="Times New Roman" w:hAnsiTheme="majorHAnsi" w:cs="Arial"/>
          <w:sz w:val="22"/>
          <w:szCs w:val="22"/>
        </w:rPr>
        <w:t xml:space="preserve">y investment, it is the </w:t>
      </w:r>
      <w:r w:rsidR="00D158B5">
        <w:rPr>
          <w:rFonts w:asciiTheme="majorHAnsi" w:eastAsia="Times New Roman" w:hAnsiTheme="majorHAnsi" w:cs="Arial"/>
          <w:sz w:val="22"/>
          <w:szCs w:val="22"/>
        </w:rPr>
        <w:t>Trustee</w:t>
      </w:r>
      <w:r>
        <w:rPr>
          <w:rFonts w:asciiTheme="majorHAnsi" w:eastAsia="Times New Roman" w:hAnsiTheme="majorHAnsi" w:cs="Arial"/>
          <w:sz w:val="22"/>
          <w:szCs w:val="22"/>
        </w:rPr>
        <w:t>’</w:t>
      </w:r>
      <w:r w:rsidR="00C8376C">
        <w:rPr>
          <w:rFonts w:asciiTheme="majorHAnsi" w:eastAsia="Times New Roman" w:hAnsiTheme="majorHAnsi" w:cs="Arial"/>
          <w:sz w:val="22"/>
          <w:szCs w:val="22"/>
        </w:rPr>
        <w:t>s</w:t>
      </w:r>
      <w:r w:rsidRPr="00994653">
        <w:rPr>
          <w:rFonts w:asciiTheme="majorHAnsi" w:eastAsia="Times New Roman" w:hAnsiTheme="majorHAnsi" w:cs="Arial"/>
          <w:sz w:val="22"/>
          <w:szCs w:val="22"/>
        </w:rPr>
        <w:t xml:space="preserve"> policy to periodically </w:t>
      </w:r>
      <w:r w:rsidR="00C8376C" w:rsidRPr="00994653">
        <w:rPr>
          <w:rFonts w:asciiTheme="majorHAnsi" w:eastAsia="Times New Roman" w:hAnsiTheme="majorHAnsi" w:cs="Arial"/>
          <w:sz w:val="22"/>
          <w:szCs w:val="22"/>
        </w:rPr>
        <w:t>review</w:t>
      </w:r>
      <w:r w:rsidR="00C8376C">
        <w:rPr>
          <w:rFonts w:asciiTheme="majorHAnsi" w:eastAsia="Times New Roman" w:hAnsiTheme="majorHAnsi" w:cs="Arial"/>
          <w:sz w:val="22"/>
          <w:szCs w:val="22"/>
        </w:rPr>
        <w:t xml:space="preserve"> </w:t>
      </w:r>
      <w:r w:rsidRPr="00994653">
        <w:rPr>
          <w:rFonts w:asciiTheme="majorHAnsi" w:eastAsia="Times New Roman" w:hAnsiTheme="majorHAnsi" w:cs="Arial"/>
          <w:sz w:val="22"/>
          <w:szCs w:val="22"/>
        </w:rPr>
        <w:t>whether the continued retention of that investment is appropriate and to obtain proper advice on whether retention is satisfactory given t</w:t>
      </w:r>
      <w:r>
        <w:rPr>
          <w:rFonts w:asciiTheme="majorHAnsi" w:eastAsia="Times New Roman" w:hAnsiTheme="majorHAnsi" w:cs="Arial"/>
          <w:sz w:val="22"/>
          <w:szCs w:val="22"/>
        </w:rPr>
        <w:t>he matters referred to in this S</w:t>
      </w:r>
      <w:r w:rsidRPr="00994653">
        <w:rPr>
          <w:rFonts w:asciiTheme="majorHAnsi" w:eastAsia="Times New Roman" w:hAnsiTheme="majorHAnsi" w:cs="Arial"/>
          <w:sz w:val="22"/>
          <w:szCs w:val="22"/>
        </w:rPr>
        <w:t>tatement.</w:t>
      </w:r>
    </w:p>
    <w:p w14:paraId="2236F6B8" w14:textId="77777777" w:rsidR="00576DEA" w:rsidRDefault="00576DEA" w:rsidP="00576DEA">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072793EF" w14:textId="1AAA3F56" w:rsidR="00C8376C" w:rsidRDefault="00C8376C" w:rsidP="00576DEA">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4B6234">
        <w:rPr>
          <w:rFonts w:asciiTheme="majorHAnsi" w:eastAsia="Times New Roman" w:hAnsiTheme="majorHAnsi" w:cs="Arial"/>
          <w:sz w:val="22"/>
          <w:szCs w:val="22"/>
        </w:rPr>
        <w:t>The Scheme is cashflow negative given that the</w:t>
      </w:r>
      <w:r w:rsidRPr="00C8376C">
        <w:rPr>
          <w:rFonts w:asciiTheme="majorHAnsi" w:eastAsia="Times New Roman" w:hAnsiTheme="majorHAnsi" w:cs="Arial"/>
          <w:sz w:val="22"/>
          <w:szCs w:val="22"/>
        </w:rPr>
        <w:t>re are no active members and</w:t>
      </w:r>
      <w:r w:rsidR="00D04E67">
        <w:rPr>
          <w:rFonts w:asciiTheme="majorHAnsi" w:eastAsia="Times New Roman" w:hAnsiTheme="majorHAnsi" w:cs="Arial"/>
          <w:sz w:val="22"/>
          <w:szCs w:val="22"/>
        </w:rPr>
        <w:t xml:space="preserve"> while</w:t>
      </w:r>
      <w:r w:rsidR="007D32FF">
        <w:rPr>
          <w:rFonts w:asciiTheme="majorHAnsi" w:eastAsia="Times New Roman" w:hAnsiTheme="majorHAnsi" w:cs="Arial"/>
          <w:sz w:val="22"/>
          <w:szCs w:val="22"/>
        </w:rPr>
        <w:t xml:space="preserve"> </w:t>
      </w:r>
      <w:r w:rsidRPr="004B6234">
        <w:rPr>
          <w:rFonts w:asciiTheme="majorHAnsi" w:eastAsia="Times New Roman" w:hAnsiTheme="majorHAnsi" w:cs="Arial"/>
          <w:sz w:val="22"/>
          <w:szCs w:val="22"/>
        </w:rPr>
        <w:t>the Scheme is not receiv</w:t>
      </w:r>
      <w:r w:rsidR="00D04E67">
        <w:rPr>
          <w:rFonts w:asciiTheme="majorHAnsi" w:eastAsia="Times New Roman" w:hAnsiTheme="majorHAnsi" w:cs="Arial"/>
          <w:sz w:val="22"/>
          <w:szCs w:val="22"/>
        </w:rPr>
        <w:t>ing</w:t>
      </w:r>
      <w:r w:rsidRPr="004B6234">
        <w:rPr>
          <w:rFonts w:asciiTheme="majorHAnsi" w:eastAsia="Times New Roman" w:hAnsiTheme="majorHAnsi" w:cs="Arial"/>
          <w:sz w:val="22"/>
          <w:szCs w:val="22"/>
        </w:rPr>
        <w:t xml:space="preserve"> any regular ongoing contributions from the Principal Employer</w:t>
      </w:r>
      <w:r w:rsidR="00616250">
        <w:rPr>
          <w:rFonts w:asciiTheme="majorHAnsi" w:eastAsia="Times New Roman" w:hAnsiTheme="majorHAnsi" w:cs="Arial"/>
          <w:sz w:val="22"/>
          <w:szCs w:val="22"/>
        </w:rPr>
        <w:t xml:space="preserve">. </w:t>
      </w:r>
      <w:r w:rsidRPr="004B6234">
        <w:rPr>
          <w:rFonts w:asciiTheme="majorHAnsi" w:eastAsia="Times New Roman" w:hAnsiTheme="majorHAnsi" w:cs="Arial"/>
          <w:sz w:val="22"/>
          <w:szCs w:val="22"/>
        </w:rPr>
        <w:t>The Trustee has therefore intentionally invested a proportion of the Scheme’s assets in</w:t>
      </w:r>
      <w:r>
        <w:rPr>
          <w:rFonts w:asciiTheme="majorHAnsi" w:eastAsia="Times New Roman" w:hAnsiTheme="majorHAnsi" w:cs="Arial"/>
          <w:sz w:val="22"/>
          <w:szCs w:val="22"/>
        </w:rPr>
        <w:t>to</w:t>
      </w:r>
      <w:r w:rsidRPr="004B6234">
        <w:rPr>
          <w:rFonts w:asciiTheme="majorHAnsi" w:eastAsia="Times New Roman" w:hAnsiTheme="majorHAnsi" w:cs="Arial"/>
          <w:sz w:val="22"/>
          <w:szCs w:val="22"/>
        </w:rPr>
        <w:t xml:space="preserve"> income distributing assets (i.e. the global equities and buy &amp; maintain credit mandates) that will be primarily used to meet the Scheme’s ongoing cashflow requirements</w:t>
      </w:r>
      <w:r>
        <w:rPr>
          <w:rFonts w:asciiTheme="majorHAnsi" w:eastAsia="Times New Roman" w:hAnsiTheme="majorHAnsi" w:cs="Arial"/>
          <w:sz w:val="22"/>
          <w:szCs w:val="22"/>
        </w:rPr>
        <w:t>, and</w:t>
      </w:r>
      <w:r w:rsidRPr="004B6234">
        <w:rPr>
          <w:rFonts w:asciiTheme="majorHAnsi" w:eastAsia="Times New Roman" w:hAnsiTheme="majorHAnsi" w:cs="Arial"/>
          <w:sz w:val="22"/>
          <w:szCs w:val="22"/>
        </w:rPr>
        <w:t xml:space="preserve"> to prevent the Scheme </w:t>
      </w:r>
      <w:r>
        <w:rPr>
          <w:rFonts w:asciiTheme="majorHAnsi" w:eastAsia="Times New Roman" w:hAnsiTheme="majorHAnsi" w:cs="Arial"/>
          <w:sz w:val="22"/>
          <w:szCs w:val="22"/>
        </w:rPr>
        <w:t xml:space="preserve">from </w:t>
      </w:r>
      <w:r w:rsidRPr="004B6234">
        <w:rPr>
          <w:rFonts w:asciiTheme="majorHAnsi" w:eastAsia="Times New Roman" w:hAnsiTheme="majorHAnsi" w:cs="Arial"/>
          <w:sz w:val="22"/>
          <w:szCs w:val="22"/>
        </w:rPr>
        <w:t>rout</w:t>
      </w:r>
      <w:r w:rsidRPr="00C8376C">
        <w:rPr>
          <w:rFonts w:asciiTheme="majorHAnsi" w:eastAsia="Times New Roman" w:hAnsiTheme="majorHAnsi" w:cs="Arial"/>
          <w:sz w:val="22"/>
          <w:szCs w:val="22"/>
        </w:rPr>
        <w:t xml:space="preserve">inely being a forced seller of </w:t>
      </w:r>
      <w:r w:rsidRPr="004B6234">
        <w:rPr>
          <w:rFonts w:asciiTheme="majorHAnsi" w:eastAsia="Times New Roman" w:hAnsiTheme="majorHAnsi" w:cs="Arial"/>
          <w:sz w:val="22"/>
          <w:szCs w:val="22"/>
        </w:rPr>
        <w:t xml:space="preserve">investments and incurring transaction costs </w:t>
      </w:r>
      <w:r>
        <w:rPr>
          <w:rFonts w:asciiTheme="majorHAnsi" w:eastAsia="Times New Roman" w:hAnsiTheme="majorHAnsi" w:cs="Arial"/>
          <w:sz w:val="22"/>
          <w:szCs w:val="22"/>
        </w:rPr>
        <w:t>in the process.</w:t>
      </w:r>
    </w:p>
    <w:p w14:paraId="16AA60B0" w14:textId="4D5107AD" w:rsidR="00C520F8" w:rsidRDefault="00C520F8" w:rsidP="00576DEA">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6A89BAC6" w14:textId="1A8046CD" w:rsidR="00C520F8" w:rsidRPr="00D30699" w:rsidRDefault="00C520F8" w:rsidP="00C520F8">
      <w:pPr>
        <w:pStyle w:val="Normalplus"/>
        <w:widowControl/>
        <w:spacing w:after="240"/>
        <w:rPr>
          <w:rFonts w:asciiTheme="minorHAnsi" w:hAnsiTheme="minorHAnsi"/>
          <w:sz w:val="22"/>
          <w:szCs w:val="22"/>
        </w:rPr>
      </w:pPr>
      <w:r>
        <w:rPr>
          <w:rFonts w:asciiTheme="minorHAnsi" w:hAnsiTheme="minorHAnsi" w:cs="Times New Roman"/>
          <w:sz w:val="22"/>
          <w:szCs w:val="22"/>
        </w:rPr>
        <w:t xml:space="preserve">The Trustee’s policy on the duration of arrangements with </w:t>
      </w:r>
      <w:r w:rsidR="00E867C7">
        <w:rPr>
          <w:rFonts w:asciiTheme="minorHAnsi" w:hAnsiTheme="minorHAnsi" w:cs="Times New Roman"/>
          <w:sz w:val="22"/>
          <w:szCs w:val="22"/>
        </w:rPr>
        <w:t xml:space="preserve">its </w:t>
      </w:r>
      <w:r>
        <w:rPr>
          <w:rFonts w:asciiTheme="minorHAnsi" w:hAnsiTheme="minorHAnsi" w:cs="Times New Roman"/>
          <w:sz w:val="22"/>
          <w:szCs w:val="22"/>
        </w:rPr>
        <w:t>investment mana</w:t>
      </w:r>
      <w:r w:rsidR="00E867C7">
        <w:rPr>
          <w:rFonts w:asciiTheme="minorHAnsi" w:hAnsiTheme="minorHAnsi" w:cs="Times New Roman"/>
          <w:sz w:val="22"/>
          <w:szCs w:val="22"/>
        </w:rPr>
        <w:t>ger</w:t>
      </w:r>
      <w:r>
        <w:rPr>
          <w:rFonts w:asciiTheme="minorHAnsi" w:hAnsiTheme="minorHAnsi" w:cs="Times New Roman"/>
          <w:sz w:val="22"/>
          <w:szCs w:val="22"/>
        </w:rPr>
        <w:t xml:space="preserve"> is set out below</w:t>
      </w:r>
      <w:r>
        <w:rPr>
          <w:rFonts w:asciiTheme="minorHAnsi" w:eastAsiaTheme="minorEastAsia" w:hAnsiTheme="minorHAnsi"/>
          <w:sz w:val="22"/>
          <w:szCs w:val="22"/>
        </w:rPr>
        <w:t xml:space="preserve">. </w:t>
      </w:r>
      <w:r w:rsidRPr="00D30699">
        <w:rPr>
          <w:rFonts w:asciiTheme="minorHAnsi" w:eastAsiaTheme="minorEastAsia" w:hAnsiTheme="minorHAnsi"/>
          <w:sz w:val="22"/>
          <w:szCs w:val="22"/>
        </w:rPr>
        <w:t>The Trus</w:t>
      </w:r>
      <w:r>
        <w:rPr>
          <w:rFonts w:asciiTheme="minorHAnsi" w:eastAsiaTheme="minorEastAsia" w:hAnsiTheme="minorHAnsi"/>
          <w:sz w:val="22"/>
          <w:szCs w:val="22"/>
        </w:rPr>
        <w:t>tee, with guidance from its investment advisor, has</w:t>
      </w:r>
      <w:r w:rsidRPr="00D30699">
        <w:rPr>
          <w:rFonts w:asciiTheme="minorHAnsi" w:eastAsiaTheme="minorEastAsia" w:hAnsiTheme="minorHAnsi"/>
          <w:sz w:val="22"/>
          <w:szCs w:val="22"/>
        </w:rPr>
        <w:t xml:space="preserve"> chosen to invest in </w:t>
      </w:r>
      <w:r>
        <w:rPr>
          <w:rFonts w:asciiTheme="minorHAnsi" w:eastAsiaTheme="minorEastAsia" w:hAnsiTheme="minorHAnsi"/>
          <w:sz w:val="22"/>
          <w:szCs w:val="22"/>
        </w:rPr>
        <w:t xml:space="preserve">a combination of </w:t>
      </w:r>
      <w:r w:rsidR="00E867C7">
        <w:rPr>
          <w:rFonts w:asciiTheme="minorHAnsi" w:eastAsiaTheme="minorEastAsia" w:hAnsiTheme="minorHAnsi"/>
          <w:sz w:val="22"/>
          <w:szCs w:val="22"/>
        </w:rPr>
        <w:t>liquid open-ended pooled funds</w:t>
      </w:r>
      <w:r w:rsidRPr="00D30699">
        <w:rPr>
          <w:rFonts w:asciiTheme="minorHAnsi" w:eastAsiaTheme="minorEastAsia" w:hAnsiTheme="minorHAnsi"/>
          <w:sz w:val="22"/>
          <w:szCs w:val="22"/>
        </w:rPr>
        <w:t xml:space="preserve">. </w:t>
      </w:r>
    </w:p>
    <w:p w14:paraId="63CF9D2A" w14:textId="1093CC65" w:rsidR="00C8376C" w:rsidRDefault="00C520F8" w:rsidP="00911F33">
      <w:pPr>
        <w:pStyle w:val="Normalplus"/>
        <w:rPr>
          <w:rFonts w:asciiTheme="minorHAnsi" w:eastAsiaTheme="minorEastAsia" w:hAnsiTheme="minorHAnsi"/>
          <w:sz w:val="22"/>
          <w:szCs w:val="22"/>
        </w:rPr>
      </w:pPr>
      <w:r w:rsidRPr="00D30699">
        <w:rPr>
          <w:rFonts w:asciiTheme="minorHAnsi" w:eastAsiaTheme="minorEastAsia" w:hAnsiTheme="minorHAnsi"/>
          <w:sz w:val="22"/>
          <w:szCs w:val="22"/>
        </w:rPr>
        <w:t>For open ended pooled funds</w:t>
      </w:r>
      <w:r>
        <w:rPr>
          <w:rFonts w:asciiTheme="minorHAnsi" w:eastAsiaTheme="minorEastAsia" w:hAnsiTheme="minorHAnsi"/>
          <w:sz w:val="22"/>
          <w:szCs w:val="22"/>
        </w:rPr>
        <w:t xml:space="preserve"> the Trustee’s policy</w:t>
      </w:r>
      <w:r w:rsidRPr="00D30699">
        <w:rPr>
          <w:rFonts w:asciiTheme="minorHAnsi" w:eastAsiaTheme="minorEastAsia" w:hAnsiTheme="minorHAnsi"/>
          <w:sz w:val="22"/>
          <w:szCs w:val="22"/>
        </w:rPr>
        <w:t xml:space="preserve"> is to enter arrangements with no fixed end date. Ho</w:t>
      </w:r>
      <w:r>
        <w:rPr>
          <w:rFonts w:asciiTheme="minorHAnsi" w:eastAsiaTheme="minorEastAsia" w:hAnsiTheme="minorHAnsi"/>
          <w:sz w:val="22"/>
          <w:szCs w:val="22"/>
        </w:rPr>
        <w:t>wever, in this case the Trustee</w:t>
      </w:r>
      <w:r w:rsidRPr="00D30699">
        <w:rPr>
          <w:rFonts w:asciiTheme="minorHAnsi" w:eastAsiaTheme="minorEastAsia" w:hAnsiTheme="minorHAnsi"/>
          <w:sz w:val="22"/>
          <w:szCs w:val="22"/>
        </w:rPr>
        <w:t xml:space="preserve"> will seek to enter arrangements where it has the power to terminate these in line with the liquidity of the underlying assets and as agreed in the mandate. The </w:t>
      </w:r>
      <w:r>
        <w:rPr>
          <w:rFonts w:asciiTheme="minorHAnsi" w:eastAsiaTheme="minorEastAsia" w:hAnsiTheme="minorHAnsi"/>
          <w:sz w:val="22"/>
          <w:szCs w:val="22"/>
        </w:rPr>
        <w:t>Scheme’s</w:t>
      </w:r>
      <w:r w:rsidRPr="00D30699">
        <w:rPr>
          <w:rFonts w:asciiTheme="minorHAnsi" w:eastAsiaTheme="minorEastAsia" w:hAnsiTheme="minorHAnsi"/>
          <w:sz w:val="22"/>
          <w:szCs w:val="22"/>
        </w:rPr>
        <w:t xml:space="preserve">  </w:t>
      </w:r>
      <w:r w:rsidRPr="00D30699">
        <w:rPr>
          <w:rFonts w:asciiTheme="minorHAnsi" w:eastAsiaTheme="minorEastAsia" w:hAnsiTheme="minorHAnsi"/>
          <w:sz w:val="22"/>
          <w:szCs w:val="22"/>
        </w:rPr>
        <w:lastRenderedPageBreak/>
        <w:t xml:space="preserve">investments are </w:t>
      </w:r>
      <w:r w:rsidR="00E867C7">
        <w:rPr>
          <w:rFonts w:asciiTheme="minorHAnsi" w:eastAsiaTheme="minorEastAsia" w:hAnsiTheme="minorHAnsi"/>
          <w:sz w:val="22"/>
          <w:szCs w:val="22"/>
        </w:rPr>
        <w:t>weekly dealt</w:t>
      </w:r>
      <w:r>
        <w:rPr>
          <w:rFonts w:asciiTheme="minorHAnsi" w:eastAsiaTheme="minorEastAsia" w:hAnsiTheme="minorHAnsi"/>
          <w:sz w:val="22"/>
          <w:szCs w:val="22"/>
        </w:rPr>
        <w:t>. The Trustee</w:t>
      </w:r>
      <w:r w:rsidRPr="00D30699">
        <w:rPr>
          <w:rFonts w:asciiTheme="minorHAnsi" w:eastAsiaTheme="minorEastAsia" w:hAnsiTheme="minorHAnsi"/>
          <w:sz w:val="22"/>
          <w:szCs w:val="22"/>
        </w:rPr>
        <w:t xml:space="preserve"> will determine whether to terminate such arrangements on an ongoing basis through its regular monitoring of </w:t>
      </w:r>
      <w:r w:rsidR="00167CF5">
        <w:rPr>
          <w:rFonts w:asciiTheme="minorHAnsi" w:eastAsiaTheme="minorEastAsia" w:hAnsiTheme="minorHAnsi"/>
          <w:sz w:val="22"/>
          <w:szCs w:val="22"/>
        </w:rPr>
        <w:t>the investment manager’s</w:t>
      </w:r>
      <w:r w:rsidR="00167CF5" w:rsidRPr="00D30699">
        <w:rPr>
          <w:rFonts w:asciiTheme="minorHAnsi" w:eastAsiaTheme="minorEastAsia" w:hAnsiTheme="minorHAnsi"/>
          <w:sz w:val="22"/>
          <w:szCs w:val="22"/>
        </w:rPr>
        <w:t xml:space="preserve"> </w:t>
      </w:r>
      <w:r w:rsidRPr="00D30699">
        <w:rPr>
          <w:rFonts w:asciiTheme="minorHAnsi" w:eastAsiaTheme="minorEastAsia" w:hAnsiTheme="minorHAnsi"/>
          <w:sz w:val="22"/>
          <w:szCs w:val="22"/>
        </w:rPr>
        <w:t xml:space="preserve">performance against objectives. The Trustee may also elect to terminate the arrangement with an asset manager when performing ongoing reviews of the suitability of the </w:t>
      </w:r>
      <w:r>
        <w:rPr>
          <w:rFonts w:asciiTheme="minorHAnsi" w:eastAsiaTheme="minorEastAsia" w:hAnsiTheme="minorHAnsi"/>
          <w:sz w:val="22"/>
          <w:szCs w:val="22"/>
        </w:rPr>
        <w:t>Scheme’s</w:t>
      </w:r>
      <w:r w:rsidRPr="00D30699">
        <w:rPr>
          <w:rFonts w:asciiTheme="minorHAnsi" w:eastAsiaTheme="minorEastAsia" w:hAnsiTheme="minorHAnsi"/>
          <w:sz w:val="22"/>
          <w:szCs w:val="22"/>
        </w:rPr>
        <w:t xml:space="preserve"> </w:t>
      </w:r>
      <w:r>
        <w:rPr>
          <w:rFonts w:asciiTheme="minorHAnsi" w:eastAsiaTheme="minorEastAsia" w:hAnsiTheme="minorHAnsi"/>
          <w:sz w:val="22"/>
          <w:szCs w:val="22"/>
        </w:rPr>
        <w:t>asset mix</w:t>
      </w:r>
      <w:r w:rsidRPr="00D30699">
        <w:rPr>
          <w:rFonts w:asciiTheme="minorHAnsi" w:eastAsiaTheme="minorEastAsia" w:hAnsiTheme="minorHAnsi"/>
          <w:sz w:val="22"/>
          <w:szCs w:val="22"/>
        </w:rPr>
        <w:t xml:space="preserve"> over time.</w:t>
      </w:r>
    </w:p>
    <w:p w14:paraId="4814245E" w14:textId="77777777" w:rsidR="00167CF5" w:rsidRDefault="00167CF5" w:rsidP="00911F33">
      <w:pPr>
        <w:pStyle w:val="Normalplus"/>
        <w:rPr>
          <w:rFonts w:asciiTheme="majorHAnsi" w:hAnsiTheme="majorHAnsi"/>
          <w:sz w:val="22"/>
          <w:szCs w:val="22"/>
          <w:highlight w:val="yellow"/>
        </w:rPr>
      </w:pPr>
    </w:p>
    <w:p w14:paraId="1F2BEF7F" w14:textId="08869A24" w:rsidR="00DE754B" w:rsidRPr="00DE754B" w:rsidRDefault="00576DEA" w:rsidP="00D014A7">
      <w:pPr>
        <w:pStyle w:val="Heading1"/>
        <w:numPr>
          <w:ilvl w:val="0"/>
          <w:numId w:val="15"/>
        </w:numPr>
        <w:rPr>
          <w:b/>
          <w:color w:val="62B5E5" w:themeColor="accent3"/>
          <w:sz w:val="24"/>
          <w:szCs w:val="24"/>
          <w:lang w:val="en-US"/>
        </w:rPr>
      </w:pPr>
      <w:bookmarkStart w:id="55" w:name="_Toc43377754"/>
      <w:bookmarkStart w:id="56" w:name="_Toc43378550"/>
      <w:bookmarkStart w:id="57" w:name="_Toc43378614"/>
      <w:bookmarkStart w:id="58" w:name="_Toc43377755"/>
      <w:bookmarkStart w:id="59" w:name="_Toc43378551"/>
      <w:bookmarkStart w:id="60" w:name="_Toc43378615"/>
      <w:bookmarkStart w:id="61" w:name="_Toc29549354"/>
      <w:bookmarkStart w:id="62" w:name="_Toc29549443"/>
      <w:bookmarkStart w:id="63" w:name="_Toc29549363"/>
      <w:bookmarkStart w:id="64" w:name="_Toc29549452"/>
      <w:bookmarkStart w:id="65" w:name="_Toc29549365"/>
      <w:bookmarkStart w:id="66" w:name="_Toc29549454"/>
      <w:bookmarkStart w:id="67" w:name="_Toc29549367"/>
      <w:bookmarkStart w:id="68" w:name="_Toc29549456"/>
      <w:bookmarkStart w:id="69" w:name="_Toc29549368"/>
      <w:bookmarkStart w:id="70" w:name="_Toc29549457"/>
      <w:bookmarkStart w:id="71" w:name="_Toc29549369"/>
      <w:bookmarkStart w:id="72" w:name="_Toc29549458"/>
      <w:bookmarkStart w:id="73" w:name="_Toc9366490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b/>
          <w:color w:val="62B5E5" w:themeColor="accent3"/>
          <w:sz w:val="24"/>
          <w:szCs w:val="24"/>
          <w:lang w:val="en-US"/>
        </w:rPr>
        <w:t>R</w:t>
      </w:r>
      <w:r w:rsidR="00DE754B" w:rsidRPr="00DE754B">
        <w:rPr>
          <w:b/>
          <w:color w:val="62B5E5" w:themeColor="accent3"/>
          <w:sz w:val="24"/>
          <w:szCs w:val="24"/>
          <w:lang w:val="en-US"/>
        </w:rPr>
        <w:t>isk Measurement and Management</w:t>
      </w:r>
      <w:bookmarkEnd w:id="73"/>
    </w:p>
    <w:p w14:paraId="738F9B33" w14:textId="77777777" w:rsidR="00DE754B" w:rsidRPr="00DE754B"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left="-76" w:right="144"/>
        <w:textAlignment w:val="baseline"/>
        <w:rPr>
          <w:rFonts w:asciiTheme="majorHAnsi" w:eastAsia="Times New Roman" w:hAnsiTheme="majorHAnsi" w:cs="Arial"/>
          <w:b/>
          <w:sz w:val="22"/>
          <w:szCs w:val="22"/>
        </w:rPr>
      </w:pPr>
    </w:p>
    <w:p w14:paraId="03D861E9" w14:textId="1B3F60BE" w:rsidR="00616250" w:rsidRPr="00C618A6" w:rsidRDefault="00616250" w:rsidP="00616250">
      <w:pPr>
        <w:pStyle w:val="BodyText2"/>
        <w:spacing w:after="240" w:line="240" w:lineRule="auto"/>
        <w:rPr>
          <w:rFonts w:asciiTheme="minorHAnsi" w:hAnsiTheme="minorHAnsi"/>
          <w:sz w:val="22"/>
          <w:szCs w:val="22"/>
        </w:rPr>
      </w:pPr>
      <w:r w:rsidRPr="004E5ECD">
        <w:rPr>
          <w:rFonts w:asciiTheme="minorHAnsi" w:hAnsiTheme="minorHAnsi"/>
          <w:sz w:val="22"/>
          <w:szCs w:val="22"/>
        </w:rPr>
        <w:t xml:space="preserve">Funding </w:t>
      </w:r>
      <w:r>
        <w:rPr>
          <w:rFonts w:asciiTheme="minorHAnsi" w:hAnsiTheme="minorHAnsi"/>
          <w:sz w:val="22"/>
          <w:szCs w:val="22"/>
        </w:rPr>
        <w:t>R</w:t>
      </w:r>
      <w:r w:rsidRPr="004E5ECD">
        <w:rPr>
          <w:rFonts w:asciiTheme="minorHAnsi" w:hAnsiTheme="minorHAnsi"/>
          <w:sz w:val="22"/>
          <w:szCs w:val="22"/>
        </w:rPr>
        <w:t>isk</w:t>
      </w:r>
      <w:r>
        <w:rPr>
          <w:rFonts w:asciiTheme="minorHAnsi" w:hAnsiTheme="minorHAnsi"/>
          <w:sz w:val="22"/>
          <w:szCs w:val="22"/>
        </w:rPr>
        <w:t xml:space="preserve"> is the risk that the Scheme </w:t>
      </w:r>
      <w:r w:rsidRPr="00C618A6">
        <w:rPr>
          <w:rFonts w:asciiTheme="minorHAnsi" w:hAnsiTheme="minorHAnsi"/>
          <w:sz w:val="22"/>
          <w:szCs w:val="22"/>
        </w:rPr>
        <w:t xml:space="preserve">has insufficient assets to </w:t>
      </w:r>
      <w:r>
        <w:rPr>
          <w:rFonts w:asciiTheme="minorHAnsi" w:hAnsiTheme="minorHAnsi"/>
          <w:sz w:val="22"/>
          <w:szCs w:val="22"/>
        </w:rPr>
        <w:t>meet all of</w:t>
      </w:r>
      <w:r w:rsidRPr="00C618A6">
        <w:rPr>
          <w:rFonts w:asciiTheme="minorHAnsi" w:hAnsiTheme="minorHAnsi"/>
          <w:sz w:val="22"/>
          <w:szCs w:val="22"/>
        </w:rPr>
        <w:t xml:space="preserve"> its liabilities</w:t>
      </w:r>
      <w:r>
        <w:rPr>
          <w:rFonts w:asciiTheme="minorHAnsi" w:hAnsiTheme="minorHAnsi"/>
          <w:sz w:val="22"/>
          <w:szCs w:val="22"/>
        </w:rPr>
        <w:t>.</w:t>
      </w:r>
      <w:r w:rsidRPr="00C618A6">
        <w:rPr>
          <w:rFonts w:asciiTheme="minorHAnsi" w:hAnsiTheme="minorHAnsi"/>
          <w:sz w:val="22"/>
          <w:szCs w:val="22"/>
        </w:rPr>
        <w:t xml:space="preserve"> </w:t>
      </w:r>
      <w:r>
        <w:rPr>
          <w:rFonts w:asciiTheme="minorHAnsi" w:hAnsiTheme="minorHAnsi"/>
          <w:sz w:val="22"/>
          <w:szCs w:val="22"/>
        </w:rPr>
        <w:t>I</w:t>
      </w:r>
      <w:r w:rsidRPr="00C618A6">
        <w:rPr>
          <w:rFonts w:asciiTheme="minorHAnsi" w:hAnsiTheme="minorHAnsi"/>
          <w:sz w:val="22"/>
          <w:szCs w:val="22"/>
        </w:rPr>
        <w:t xml:space="preserve">n this regard the Trustee liaises with the Principal Employer (as sponsor to the Scheme) to consider the level of risk being taken in the context of </w:t>
      </w:r>
      <w:r>
        <w:rPr>
          <w:rFonts w:asciiTheme="minorHAnsi" w:hAnsiTheme="minorHAnsi"/>
          <w:sz w:val="22"/>
          <w:szCs w:val="22"/>
        </w:rPr>
        <w:t xml:space="preserve">the </w:t>
      </w:r>
      <w:r w:rsidRPr="00C618A6">
        <w:rPr>
          <w:rFonts w:asciiTheme="minorHAnsi" w:hAnsiTheme="minorHAnsi"/>
          <w:sz w:val="22"/>
          <w:szCs w:val="22"/>
        </w:rPr>
        <w:t xml:space="preserve">Trustee’s view of the </w:t>
      </w:r>
      <w:r>
        <w:rPr>
          <w:rFonts w:asciiTheme="minorHAnsi" w:hAnsiTheme="minorHAnsi"/>
          <w:sz w:val="22"/>
          <w:szCs w:val="22"/>
        </w:rPr>
        <w:t>financial strength of the Principal Employer and its commitment to and ability for supporting the Scheme</w:t>
      </w:r>
      <w:r w:rsidRPr="00C618A6">
        <w:rPr>
          <w:rFonts w:asciiTheme="minorHAnsi" w:hAnsiTheme="minorHAnsi"/>
          <w:sz w:val="22"/>
          <w:szCs w:val="22"/>
        </w:rPr>
        <w:t>.</w:t>
      </w:r>
    </w:p>
    <w:p w14:paraId="1F30CE4F" w14:textId="435619BB" w:rsidR="00616250" w:rsidRPr="00C618A6" w:rsidRDefault="00616250" w:rsidP="00616250">
      <w:pPr>
        <w:pStyle w:val="BodyText2"/>
        <w:widowControl/>
        <w:spacing w:after="240" w:line="240" w:lineRule="auto"/>
        <w:rPr>
          <w:rFonts w:asciiTheme="minorHAnsi" w:hAnsiTheme="minorHAnsi"/>
          <w:sz w:val="22"/>
          <w:szCs w:val="22"/>
        </w:rPr>
      </w:pPr>
      <w:r w:rsidRPr="00C618A6">
        <w:rPr>
          <w:rFonts w:asciiTheme="minorHAnsi" w:hAnsiTheme="minorHAnsi"/>
          <w:sz w:val="22"/>
          <w:szCs w:val="22"/>
        </w:rPr>
        <w:t xml:space="preserve">The Trustee has identified a number of risks which have the potential to adversely impact the funding level of the Scheme and, therefore, contribute to </w:t>
      </w:r>
      <w:r>
        <w:rPr>
          <w:rFonts w:asciiTheme="minorHAnsi" w:hAnsiTheme="minorHAnsi"/>
          <w:sz w:val="22"/>
          <w:szCs w:val="22"/>
        </w:rPr>
        <w:t>F</w:t>
      </w:r>
      <w:r w:rsidRPr="00C618A6">
        <w:rPr>
          <w:rFonts w:asciiTheme="minorHAnsi" w:hAnsiTheme="minorHAnsi"/>
          <w:sz w:val="22"/>
          <w:szCs w:val="22"/>
        </w:rPr>
        <w:t xml:space="preserve">unding </w:t>
      </w:r>
      <w:r>
        <w:rPr>
          <w:rFonts w:asciiTheme="minorHAnsi" w:hAnsiTheme="minorHAnsi"/>
          <w:sz w:val="22"/>
          <w:szCs w:val="22"/>
        </w:rPr>
        <w:t>R</w:t>
      </w:r>
      <w:r w:rsidRPr="00C618A6">
        <w:rPr>
          <w:rFonts w:asciiTheme="minorHAnsi" w:hAnsiTheme="minorHAnsi"/>
          <w:sz w:val="22"/>
          <w:szCs w:val="22"/>
        </w:rPr>
        <w:t xml:space="preserve">isk. </w:t>
      </w:r>
      <w:r>
        <w:rPr>
          <w:rFonts w:asciiTheme="minorHAnsi" w:hAnsiTheme="minorHAnsi"/>
          <w:sz w:val="22"/>
          <w:szCs w:val="22"/>
        </w:rPr>
        <w:t>The Trustee’s policy in relation to investment risks (including how it measures and manages them) is</w:t>
      </w:r>
      <w:r w:rsidRPr="00C618A6">
        <w:rPr>
          <w:rFonts w:asciiTheme="minorHAnsi" w:hAnsiTheme="minorHAnsi"/>
          <w:sz w:val="22"/>
          <w:szCs w:val="22"/>
        </w:rPr>
        <w:t xml:space="preserve"> as follows:</w:t>
      </w:r>
    </w:p>
    <w:p w14:paraId="65E728F5" w14:textId="77777777" w:rsidR="00DE754B" w:rsidRPr="00DE754B"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701B3CE1" w14:textId="22702221" w:rsidR="00DE754B" w:rsidRDefault="00DE754B" w:rsidP="00DE754B">
      <w:pPr>
        <w:pStyle w:val="ListBullet"/>
        <w:numPr>
          <w:ilvl w:val="0"/>
          <w:numId w:val="16"/>
        </w:numPr>
        <w:rPr>
          <w:rFonts w:asciiTheme="majorHAnsi" w:hAnsiTheme="majorHAnsi" w:cs="Arial"/>
          <w:sz w:val="22"/>
          <w:szCs w:val="22"/>
        </w:rPr>
      </w:pPr>
      <w:r w:rsidRPr="00DE754B">
        <w:rPr>
          <w:rFonts w:asciiTheme="majorHAnsi" w:hAnsiTheme="majorHAnsi" w:cs="Arial"/>
          <w:b/>
          <w:sz w:val="22"/>
          <w:szCs w:val="22"/>
        </w:rPr>
        <w:t>Solvency risk –</w:t>
      </w:r>
      <w:r w:rsidRPr="00DE754B">
        <w:rPr>
          <w:rFonts w:asciiTheme="majorHAnsi" w:hAnsiTheme="majorHAnsi" w:cs="Arial"/>
          <w:sz w:val="22"/>
          <w:szCs w:val="22"/>
        </w:rPr>
        <w:t xml:space="preserve"> Solvency levels are monitored through ongoing triennial actuarial and accounting valuations, with appropriate action to prevent undue deterioration of the funding position.</w:t>
      </w:r>
    </w:p>
    <w:p w14:paraId="42DA21B5" w14:textId="4880F204" w:rsidR="00550A87" w:rsidRDefault="00550A87" w:rsidP="00550A87">
      <w:pPr>
        <w:pStyle w:val="ListBullet"/>
        <w:numPr>
          <w:ilvl w:val="0"/>
          <w:numId w:val="0"/>
        </w:numPr>
        <w:ind w:left="360" w:hanging="360"/>
        <w:rPr>
          <w:rFonts w:asciiTheme="majorHAnsi" w:hAnsiTheme="majorHAnsi" w:cs="Arial"/>
          <w:sz w:val="22"/>
          <w:szCs w:val="22"/>
        </w:rPr>
      </w:pPr>
    </w:p>
    <w:p w14:paraId="15D15B32" w14:textId="4B82D0F1" w:rsidR="00550A87" w:rsidRPr="00DE754B" w:rsidRDefault="00550A87" w:rsidP="00550A87">
      <w:pPr>
        <w:pStyle w:val="ListBullet"/>
        <w:numPr>
          <w:ilvl w:val="0"/>
          <w:numId w:val="0"/>
        </w:numPr>
        <w:ind w:left="360"/>
        <w:rPr>
          <w:rFonts w:asciiTheme="majorHAnsi" w:hAnsiTheme="majorHAnsi" w:cs="Arial"/>
          <w:sz w:val="22"/>
          <w:szCs w:val="22"/>
        </w:rPr>
      </w:pPr>
      <w:r w:rsidRPr="003D0F99">
        <w:rPr>
          <w:rFonts w:asciiTheme="majorHAnsi" w:hAnsiTheme="majorHAnsi" w:cs="Arial"/>
          <w:sz w:val="22"/>
          <w:szCs w:val="22"/>
        </w:rPr>
        <w:t xml:space="preserve">The </w:t>
      </w:r>
      <w:r w:rsidR="00D158B5">
        <w:rPr>
          <w:rFonts w:asciiTheme="majorHAnsi" w:hAnsiTheme="majorHAnsi" w:cs="Arial"/>
          <w:sz w:val="22"/>
          <w:szCs w:val="22"/>
        </w:rPr>
        <w:t>Trustee</w:t>
      </w:r>
      <w:r w:rsidRPr="003D0F99">
        <w:rPr>
          <w:rFonts w:asciiTheme="majorHAnsi" w:hAnsiTheme="majorHAnsi" w:cs="Arial"/>
          <w:sz w:val="22"/>
          <w:szCs w:val="22"/>
        </w:rPr>
        <w:t xml:space="preserve"> </w:t>
      </w:r>
      <w:r w:rsidR="00616250">
        <w:rPr>
          <w:rFonts w:asciiTheme="majorHAnsi" w:hAnsiTheme="majorHAnsi" w:cs="Arial"/>
          <w:sz w:val="22"/>
          <w:szCs w:val="22"/>
        </w:rPr>
        <w:t>is</w:t>
      </w:r>
      <w:r w:rsidRPr="003D0F99">
        <w:rPr>
          <w:rFonts w:asciiTheme="majorHAnsi" w:hAnsiTheme="majorHAnsi" w:cs="Arial"/>
          <w:sz w:val="22"/>
          <w:szCs w:val="22"/>
        </w:rPr>
        <w:t xml:space="preserve"> aware that the asset allocation required to minimise the volatility of the solvency position may be different from that which would minimise the </w:t>
      </w:r>
      <w:r w:rsidR="00221E8F">
        <w:rPr>
          <w:rFonts w:asciiTheme="majorHAnsi" w:hAnsiTheme="majorHAnsi" w:cs="Arial"/>
          <w:sz w:val="22"/>
          <w:szCs w:val="22"/>
        </w:rPr>
        <w:t>v</w:t>
      </w:r>
      <w:r w:rsidRPr="003D0F99">
        <w:rPr>
          <w:rFonts w:asciiTheme="majorHAnsi" w:hAnsiTheme="majorHAnsi" w:cs="Arial"/>
          <w:sz w:val="22"/>
          <w:szCs w:val="22"/>
        </w:rPr>
        <w:t xml:space="preserve">olatility of the </w:t>
      </w:r>
      <w:r w:rsidR="00221E8F">
        <w:rPr>
          <w:rFonts w:asciiTheme="majorHAnsi" w:hAnsiTheme="majorHAnsi" w:cs="Arial"/>
          <w:sz w:val="22"/>
          <w:szCs w:val="22"/>
        </w:rPr>
        <w:t>Scheme</w:t>
      </w:r>
      <w:r w:rsidRPr="003D0F99">
        <w:rPr>
          <w:rFonts w:asciiTheme="majorHAnsi" w:hAnsiTheme="majorHAnsi" w:cs="Arial"/>
          <w:sz w:val="22"/>
          <w:szCs w:val="22"/>
        </w:rPr>
        <w:t>’s funding basis.</w:t>
      </w:r>
      <w:r>
        <w:rPr>
          <w:rFonts w:asciiTheme="majorHAnsi" w:hAnsiTheme="majorHAnsi" w:cs="Arial"/>
          <w:sz w:val="22"/>
          <w:szCs w:val="22"/>
        </w:rPr>
        <w:t xml:space="preserve"> </w:t>
      </w:r>
    </w:p>
    <w:p w14:paraId="5FFB89EF" w14:textId="77777777" w:rsidR="00DE754B" w:rsidRPr="00DE754B" w:rsidRDefault="00DE754B" w:rsidP="00DE754B">
      <w:pPr>
        <w:pStyle w:val="ListBullet"/>
        <w:numPr>
          <w:ilvl w:val="0"/>
          <w:numId w:val="0"/>
        </w:numPr>
        <w:tabs>
          <w:tab w:val="left" w:pos="720"/>
        </w:tabs>
        <w:ind w:left="360"/>
        <w:rPr>
          <w:rFonts w:asciiTheme="majorHAnsi" w:hAnsiTheme="majorHAnsi" w:cs="Arial"/>
          <w:sz w:val="22"/>
          <w:szCs w:val="22"/>
        </w:rPr>
      </w:pPr>
    </w:p>
    <w:p w14:paraId="3137C53C" w14:textId="06DAA3CF" w:rsidR="00AD451C" w:rsidRPr="00D014A7" w:rsidRDefault="00DE754B" w:rsidP="00DE754B">
      <w:pPr>
        <w:pStyle w:val="ListBullet"/>
        <w:numPr>
          <w:ilvl w:val="0"/>
          <w:numId w:val="16"/>
        </w:numPr>
        <w:rPr>
          <w:rFonts w:asciiTheme="majorHAnsi" w:hAnsiTheme="majorHAnsi" w:cs="Arial"/>
          <w:b/>
          <w:sz w:val="22"/>
          <w:szCs w:val="22"/>
        </w:rPr>
      </w:pPr>
      <w:r w:rsidRPr="00DE754B">
        <w:rPr>
          <w:rFonts w:asciiTheme="majorHAnsi" w:hAnsiTheme="majorHAnsi" w:cs="Arial"/>
          <w:b/>
          <w:sz w:val="22"/>
          <w:szCs w:val="22"/>
        </w:rPr>
        <w:t xml:space="preserve">Mismatching risk - </w:t>
      </w:r>
      <w:r w:rsidRPr="00DE754B">
        <w:rPr>
          <w:rFonts w:asciiTheme="majorHAnsi" w:hAnsiTheme="majorHAnsi" w:cs="Arial"/>
          <w:sz w:val="22"/>
          <w:szCs w:val="22"/>
        </w:rPr>
        <w:t xml:space="preserve">The risk of a significant difference in the sensitivity of asset and liability values to changes in financial and demographic factors. The </w:t>
      </w:r>
      <w:r w:rsidR="00D158B5">
        <w:rPr>
          <w:rFonts w:asciiTheme="majorHAnsi" w:hAnsiTheme="majorHAnsi" w:cs="Arial"/>
          <w:sz w:val="22"/>
          <w:szCs w:val="22"/>
        </w:rPr>
        <w:t>Trustee</w:t>
      </w:r>
      <w:r w:rsidRPr="00DE754B">
        <w:rPr>
          <w:rFonts w:asciiTheme="majorHAnsi" w:hAnsiTheme="majorHAnsi" w:cs="Arial"/>
          <w:sz w:val="22"/>
          <w:szCs w:val="22"/>
        </w:rPr>
        <w:t xml:space="preserve"> and </w:t>
      </w:r>
      <w:r w:rsidR="00F92F81">
        <w:rPr>
          <w:rFonts w:asciiTheme="majorHAnsi" w:hAnsiTheme="majorHAnsi" w:cs="Arial"/>
          <w:sz w:val="22"/>
          <w:szCs w:val="22"/>
        </w:rPr>
        <w:t>its</w:t>
      </w:r>
      <w:r w:rsidRPr="00DE754B">
        <w:rPr>
          <w:rFonts w:asciiTheme="majorHAnsi" w:hAnsiTheme="majorHAnsi" w:cs="Arial"/>
          <w:sz w:val="22"/>
          <w:szCs w:val="22"/>
        </w:rPr>
        <w:t xml:space="preserve"> advisors considered this risk when setting the investment strategy.</w:t>
      </w:r>
      <w:r w:rsidR="00AD451C">
        <w:rPr>
          <w:rFonts w:asciiTheme="majorHAnsi" w:hAnsiTheme="majorHAnsi" w:cs="Arial"/>
          <w:sz w:val="22"/>
          <w:szCs w:val="22"/>
        </w:rPr>
        <w:t xml:space="preserve"> In particular, the risk that a fall in the level of interest rates or a rise in the level of inflation expectations could result in the </w:t>
      </w:r>
      <w:r w:rsidR="00542079">
        <w:rPr>
          <w:rFonts w:asciiTheme="majorHAnsi" w:hAnsiTheme="majorHAnsi" w:cs="Arial"/>
          <w:sz w:val="22"/>
          <w:szCs w:val="22"/>
        </w:rPr>
        <w:t>Scheme</w:t>
      </w:r>
      <w:r w:rsidR="00AD451C">
        <w:rPr>
          <w:rFonts w:asciiTheme="majorHAnsi" w:hAnsiTheme="majorHAnsi" w:cs="Arial"/>
          <w:sz w:val="22"/>
          <w:szCs w:val="22"/>
        </w:rPr>
        <w:t xml:space="preserve">’s liabilities to increase to a greater extent than the </w:t>
      </w:r>
      <w:r w:rsidR="00542079">
        <w:rPr>
          <w:rFonts w:asciiTheme="majorHAnsi" w:hAnsiTheme="majorHAnsi" w:cs="Arial"/>
          <w:sz w:val="22"/>
          <w:szCs w:val="22"/>
        </w:rPr>
        <w:t>Scheme</w:t>
      </w:r>
      <w:r w:rsidR="00AD451C">
        <w:rPr>
          <w:rFonts w:asciiTheme="majorHAnsi" w:hAnsiTheme="majorHAnsi" w:cs="Arial"/>
          <w:sz w:val="22"/>
          <w:szCs w:val="22"/>
        </w:rPr>
        <w:t>’s assets.</w:t>
      </w:r>
    </w:p>
    <w:p w14:paraId="62248C8C" w14:textId="77777777" w:rsidR="00AD451C" w:rsidRDefault="00AD451C" w:rsidP="00D014A7">
      <w:pPr>
        <w:pStyle w:val="ListBullet"/>
        <w:numPr>
          <w:ilvl w:val="0"/>
          <w:numId w:val="0"/>
        </w:numPr>
        <w:ind w:left="360"/>
        <w:rPr>
          <w:rFonts w:asciiTheme="majorHAnsi" w:hAnsiTheme="majorHAnsi" w:cs="Arial"/>
          <w:b/>
          <w:sz w:val="22"/>
          <w:szCs w:val="22"/>
        </w:rPr>
      </w:pPr>
    </w:p>
    <w:p w14:paraId="4FE77BF3" w14:textId="514CA1F0" w:rsidR="00DE754B" w:rsidRDefault="00AD451C" w:rsidP="00D014A7">
      <w:pPr>
        <w:pStyle w:val="ListBullet"/>
        <w:numPr>
          <w:ilvl w:val="0"/>
          <w:numId w:val="0"/>
        </w:numPr>
        <w:ind w:left="360"/>
        <w:rPr>
          <w:rFonts w:asciiTheme="majorHAnsi" w:hAnsiTheme="majorHAnsi" w:cs="Arial"/>
          <w:sz w:val="22"/>
          <w:szCs w:val="22"/>
        </w:rPr>
      </w:pPr>
      <w:r w:rsidRPr="00914952">
        <w:rPr>
          <w:rFonts w:asciiTheme="majorHAnsi" w:hAnsiTheme="majorHAnsi" w:cs="Arial"/>
          <w:sz w:val="22"/>
          <w:szCs w:val="22"/>
        </w:rPr>
        <w:t xml:space="preserve">The </w:t>
      </w:r>
      <w:r w:rsidR="00D158B5">
        <w:rPr>
          <w:rFonts w:asciiTheme="majorHAnsi" w:hAnsiTheme="majorHAnsi" w:cs="Arial"/>
          <w:sz w:val="22"/>
          <w:szCs w:val="22"/>
        </w:rPr>
        <w:t>Trustee</w:t>
      </w:r>
      <w:r w:rsidRPr="00914952">
        <w:rPr>
          <w:rFonts w:asciiTheme="majorHAnsi" w:hAnsiTheme="majorHAnsi" w:cs="Arial"/>
          <w:sz w:val="22"/>
          <w:szCs w:val="22"/>
        </w:rPr>
        <w:t xml:space="preserve"> h</w:t>
      </w:r>
      <w:r w:rsidR="00616250">
        <w:rPr>
          <w:rFonts w:asciiTheme="majorHAnsi" w:hAnsiTheme="majorHAnsi" w:cs="Arial"/>
          <w:sz w:val="22"/>
          <w:szCs w:val="22"/>
        </w:rPr>
        <w:t>as</w:t>
      </w:r>
      <w:r w:rsidRPr="00914952">
        <w:rPr>
          <w:rFonts w:asciiTheme="majorHAnsi" w:hAnsiTheme="majorHAnsi" w:cs="Arial"/>
          <w:sz w:val="22"/>
          <w:szCs w:val="22"/>
        </w:rPr>
        <w:t xml:space="preserve"> implemented a </w:t>
      </w:r>
      <w:r w:rsidR="00F92F81">
        <w:rPr>
          <w:rFonts w:asciiTheme="majorHAnsi" w:hAnsiTheme="majorHAnsi" w:cs="Arial"/>
          <w:sz w:val="22"/>
          <w:szCs w:val="22"/>
        </w:rPr>
        <w:t xml:space="preserve">high </w:t>
      </w:r>
      <w:r w:rsidRPr="00914952">
        <w:rPr>
          <w:rFonts w:asciiTheme="majorHAnsi" w:hAnsiTheme="majorHAnsi" w:cs="Arial"/>
          <w:sz w:val="22"/>
          <w:szCs w:val="22"/>
        </w:rPr>
        <w:t xml:space="preserve">degree of interest rate and inflation hedging by investing in a </w:t>
      </w:r>
      <w:r w:rsidRPr="004B6234">
        <w:rPr>
          <w:rFonts w:asciiTheme="majorHAnsi" w:hAnsiTheme="majorHAnsi" w:cs="Arial"/>
          <w:color w:val="000000" w:themeColor="text1"/>
          <w:sz w:val="22"/>
          <w:szCs w:val="22"/>
        </w:rPr>
        <w:t>leveraged liability hedging portfolio</w:t>
      </w:r>
      <w:r w:rsidR="00542079" w:rsidRPr="004B6234">
        <w:rPr>
          <w:rFonts w:asciiTheme="majorHAnsi" w:hAnsiTheme="majorHAnsi" w:cs="Arial"/>
          <w:color w:val="000000" w:themeColor="text1"/>
          <w:sz w:val="22"/>
          <w:szCs w:val="22"/>
        </w:rPr>
        <w:t>,</w:t>
      </w:r>
      <w:r w:rsidRPr="004B6234">
        <w:rPr>
          <w:rFonts w:asciiTheme="majorHAnsi" w:hAnsiTheme="majorHAnsi" w:cs="Arial"/>
          <w:color w:val="000000" w:themeColor="text1"/>
          <w:sz w:val="22"/>
          <w:szCs w:val="22"/>
        </w:rPr>
        <w:t xml:space="preserve"> consisting of </w:t>
      </w:r>
      <w:r w:rsidR="00F92F81" w:rsidRPr="004B6234">
        <w:rPr>
          <w:rFonts w:asciiTheme="majorHAnsi" w:hAnsiTheme="majorHAnsi" w:cs="Arial"/>
          <w:color w:val="000000" w:themeColor="text1"/>
          <w:sz w:val="22"/>
          <w:szCs w:val="22"/>
        </w:rPr>
        <w:t>leveraged</w:t>
      </w:r>
      <w:r w:rsidRPr="004B6234">
        <w:rPr>
          <w:rFonts w:asciiTheme="majorHAnsi" w:hAnsiTheme="majorHAnsi" w:cs="Arial"/>
          <w:color w:val="000000" w:themeColor="text1"/>
          <w:sz w:val="22"/>
          <w:szCs w:val="22"/>
        </w:rPr>
        <w:t xml:space="preserve"> exposure to gilts and index-linked gilts</w:t>
      </w:r>
      <w:r w:rsidR="00542079" w:rsidRPr="004B6234">
        <w:rPr>
          <w:rFonts w:asciiTheme="majorHAnsi" w:hAnsiTheme="majorHAnsi" w:cs="Arial"/>
          <w:color w:val="000000" w:themeColor="text1"/>
          <w:sz w:val="22"/>
          <w:szCs w:val="22"/>
        </w:rPr>
        <w:t xml:space="preserve">, and </w:t>
      </w:r>
      <w:r w:rsidR="00542079" w:rsidRPr="00542079">
        <w:rPr>
          <w:rFonts w:asciiTheme="majorHAnsi" w:hAnsiTheme="majorHAnsi" w:cs="Arial"/>
          <w:sz w:val="22"/>
          <w:szCs w:val="22"/>
        </w:rPr>
        <w:t>in buy &amp; maintain credit</w:t>
      </w:r>
      <w:r w:rsidRPr="00542079">
        <w:rPr>
          <w:rFonts w:asciiTheme="majorHAnsi" w:hAnsiTheme="majorHAnsi" w:cs="Arial"/>
          <w:sz w:val="22"/>
          <w:szCs w:val="22"/>
        </w:rPr>
        <w:t>.</w:t>
      </w:r>
      <w:r w:rsidR="00DE754B" w:rsidRPr="00542079">
        <w:rPr>
          <w:rFonts w:asciiTheme="majorHAnsi" w:hAnsiTheme="majorHAnsi" w:cs="Arial"/>
          <w:sz w:val="22"/>
          <w:szCs w:val="22"/>
        </w:rPr>
        <w:t xml:space="preserve"> </w:t>
      </w:r>
      <w:r w:rsidR="00542079">
        <w:rPr>
          <w:rFonts w:asciiTheme="majorHAnsi" w:hAnsiTheme="majorHAnsi" w:cs="Arial"/>
          <w:sz w:val="22"/>
          <w:szCs w:val="22"/>
        </w:rPr>
        <w:t xml:space="preserve">This is expected to </w:t>
      </w:r>
      <w:r w:rsidR="00F92F81">
        <w:rPr>
          <w:rFonts w:asciiTheme="majorHAnsi" w:hAnsiTheme="majorHAnsi" w:cs="Arial"/>
          <w:sz w:val="22"/>
          <w:szCs w:val="22"/>
        </w:rPr>
        <w:t>provide</w:t>
      </w:r>
      <w:r w:rsidR="00542079">
        <w:rPr>
          <w:rFonts w:asciiTheme="majorHAnsi" w:hAnsiTheme="majorHAnsi" w:cs="Arial"/>
          <w:sz w:val="22"/>
          <w:szCs w:val="22"/>
        </w:rPr>
        <w:t xml:space="preserve"> </w:t>
      </w:r>
      <w:r w:rsidR="00542079" w:rsidRPr="00542079">
        <w:rPr>
          <w:rFonts w:asciiTheme="majorHAnsi" w:hAnsiTheme="majorHAnsi" w:cs="Arial"/>
          <w:sz w:val="22"/>
          <w:szCs w:val="22"/>
        </w:rPr>
        <w:t xml:space="preserve">interest rate and inflation hedging levels of c. </w:t>
      </w:r>
      <w:r w:rsidR="00113524">
        <w:rPr>
          <w:rFonts w:asciiTheme="majorHAnsi" w:hAnsiTheme="majorHAnsi" w:cs="Arial"/>
          <w:sz w:val="22"/>
          <w:szCs w:val="22"/>
        </w:rPr>
        <w:t>100</w:t>
      </w:r>
      <w:r w:rsidR="00542079" w:rsidRPr="00542079">
        <w:rPr>
          <w:rFonts w:asciiTheme="majorHAnsi" w:hAnsiTheme="majorHAnsi" w:cs="Arial"/>
          <w:sz w:val="22"/>
          <w:szCs w:val="22"/>
        </w:rPr>
        <w:t xml:space="preserve">% of the Scheme’s liabilities on the </w:t>
      </w:r>
      <w:r w:rsidR="00531951">
        <w:rPr>
          <w:rFonts w:asciiTheme="majorHAnsi" w:hAnsiTheme="majorHAnsi" w:cs="Arial"/>
          <w:sz w:val="22"/>
          <w:szCs w:val="22"/>
        </w:rPr>
        <w:t>low-risk</w:t>
      </w:r>
      <w:r w:rsidR="00113524">
        <w:rPr>
          <w:rFonts w:asciiTheme="majorHAnsi" w:hAnsiTheme="majorHAnsi" w:cs="Arial"/>
          <w:sz w:val="22"/>
          <w:szCs w:val="22"/>
        </w:rPr>
        <w:t xml:space="preserve"> basis of gilts + 0.5% p.a.</w:t>
      </w:r>
    </w:p>
    <w:p w14:paraId="6D6EFEC3" w14:textId="5630650A" w:rsidR="00531951" w:rsidRDefault="00531951" w:rsidP="00D014A7">
      <w:pPr>
        <w:pStyle w:val="ListBullet"/>
        <w:numPr>
          <w:ilvl w:val="0"/>
          <w:numId w:val="0"/>
        </w:numPr>
        <w:ind w:left="360"/>
        <w:rPr>
          <w:rFonts w:asciiTheme="majorHAnsi" w:hAnsiTheme="majorHAnsi" w:cs="Arial"/>
          <w:sz w:val="22"/>
          <w:szCs w:val="22"/>
        </w:rPr>
      </w:pPr>
    </w:p>
    <w:p w14:paraId="5676E373" w14:textId="656C275D" w:rsidR="00531951" w:rsidRPr="00D014A7" w:rsidRDefault="00531951" w:rsidP="00531951">
      <w:pPr>
        <w:pStyle w:val="ListBullet"/>
        <w:numPr>
          <w:ilvl w:val="0"/>
          <w:numId w:val="0"/>
        </w:numPr>
        <w:ind w:left="360"/>
        <w:rPr>
          <w:rFonts w:asciiTheme="majorHAnsi" w:hAnsiTheme="majorHAnsi" w:cs="Arial"/>
          <w:b/>
          <w:sz w:val="22"/>
          <w:szCs w:val="22"/>
        </w:rPr>
      </w:pPr>
      <w:r>
        <w:rPr>
          <w:rFonts w:asciiTheme="majorHAnsi" w:hAnsiTheme="majorHAnsi" w:cs="Arial"/>
          <w:sz w:val="22"/>
          <w:szCs w:val="22"/>
        </w:rPr>
        <w:t xml:space="preserve">The Trustee recognises that choosing to hedge 100% of the interest rate and inflation exposure of the liabilities measured on the low-risk gilts+0.5% p.a. basis will reduce funding level volatility on this basis but will </w:t>
      </w:r>
      <w:r w:rsidR="005F4D39">
        <w:rPr>
          <w:rFonts w:asciiTheme="majorHAnsi" w:hAnsiTheme="majorHAnsi" w:cs="Arial"/>
          <w:sz w:val="22"/>
          <w:szCs w:val="22"/>
        </w:rPr>
        <w:t xml:space="preserve">result in </w:t>
      </w:r>
      <w:r>
        <w:rPr>
          <w:rFonts w:asciiTheme="majorHAnsi" w:hAnsiTheme="majorHAnsi" w:cs="Arial"/>
          <w:sz w:val="22"/>
          <w:szCs w:val="22"/>
        </w:rPr>
        <w:t xml:space="preserve">volatility in the funding level on the chosen </w:t>
      </w:r>
      <w:r w:rsidR="005F4D39">
        <w:rPr>
          <w:rFonts w:asciiTheme="majorHAnsi" w:hAnsiTheme="majorHAnsi" w:cs="Arial"/>
          <w:sz w:val="22"/>
          <w:szCs w:val="22"/>
        </w:rPr>
        <w:t>T</w:t>
      </w:r>
      <w:r>
        <w:rPr>
          <w:rFonts w:asciiTheme="majorHAnsi" w:hAnsiTheme="majorHAnsi" w:cs="Arial"/>
          <w:sz w:val="22"/>
          <w:szCs w:val="22"/>
        </w:rPr>
        <w:t xml:space="preserve">echnical </w:t>
      </w:r>
      <w:r w:rsidR="005F4D39">
        <w:rPr>
          <w:rFonts w:asciiTheme="majorHAnsi" w:hAnsiTheme="majorHAnsi" w:cs="Arial"/>
          <w:sz w:val="22"/>
          <w:szCs w:val="22"/>
        </w:rPr>
        <w:t>P</w:t>
      </w:r>
      <w:r>
        <w:rPr>
          <w:rFonts w:asciiTheme="majorHAnsi" w:hAnsiTheme="majorHAnsi" w:cs="Arial"/>
          <w:sz w:val="22"/>
          <w:szCs w:val="22"/>
        </w:rPr>
        <w:t>rovisions basis (gilts+1.5% p.a. pre 2035 and gilts+0.25% thereafter)</w:t>
      </w:r>
      <w:r w:rsidR="005F4D39">
        <w:rPr>
          <w:rFonts w:asciiTheme="majorHAnsi" w:hAnsiTheme="majorHAnsi" w:cs="Arial"/>
          <w:sz w:val="22"/>
          <w:szCs w:val="22"/>
        </w:rPr>
        <w:t xml:space="preserve"> when there are movements in interest rates and inflation expectations.</w:t>
      </w:r>
    </w:p>
    <w:p w14:paraId="7380B6DF" w14:textId="77777777" w:rsidR="00DE754B" w:rsidRPr="00DE754B" w:rsidRDefault="00DE754B" w:rsidP="00DE754B">
      <w:pPr>
        <w:pStyle w:val="ListBullet"/>
        <w:numPr>
          <w:ilvl w:val="0"/>
          <w:numId w:val="0"/>
        </w:numPr>
        <w:tabs>
          <w:tab w:val="left" w:pos="720"/>
        </w:tabs>
        <w:rPr>
          <w:rFonts w:asciiTheme="majorHAnsi" w:hAnsiTheme="majorHAnsi" w:cs="Arial"/>
          <w:sz w:val="22"/>
          <w:szCs w:val="22"/>
        </w:rPr>
      </w:pPr>
    </w:p>
    <w:p w14:paraId="395707FC" w14:textId="2A17ADB5" w:rsidR="000F64AD" w:rsidRPr="000F64AD" w:rsidRDefault="00DE754B" w:rsidP="00DE754B">
      <w:pPr>
        <w:pStyle w:val="ListBullet"/>
        <w:numPr>
          <w:ilvl w:val="0"/>
          <w:numId w:val="16"/>
        </w:numPr>
        <w:rPr>
          <w:rFonts w:asciiTheme="majorHAnsi" w:hAnsiTheme="majorHAnsi" w:cs="Arial"/>
          <w:b/>
          <w:sz w:val="22"/>
          <w:szCs w:val="22"/>
        </w:rPr>
      </w:pPr>
      <w:r w:rsidRPr="00DE754B">
        <w:rPr>
          <w:rFonts w:asciiTheme="majorHAnsi" w:hAnsiTheme="majorHAnsi" w:cs="Arial"/>
          <w:b/>
          <w:sz w:val="22"/>
          <w:szCs w:val="22"/>
        </w:rPr>
        <w:t xml:space="preserve">Currency risk – </w:t>
      </w:r>
      <w:r w:rsidRPr="00DE754B">
        <w:rPr>
          <w:rFonts w:asciiTheme="majorHAnsi" w:hAnsiTheme="majorHAnsi" w:cs="Arial"/>
          <w:sz w:val="22"/>
          <w:szCs w:val="22"/>
        </w:rPr>
        <w:t xml:space="preserve">The risk of adverse influence on investment values arising from unfavourable currency movements.  The </w:t>
      </w:r>
      <w:r w:rsidR="00D158B5">
        <w:rPr>
          <w:rFonts w:asciiTheme="majorHAnsi" w:hAnsiTheme="majorHAnsi" w:cs="Arial"/>
          <w:sz w:val="22"/>
          <w:szCs w:val="22"/>
        </w:rPr>
        <w:t>Trustee</w:t>
      </w:r>
      <w:r w:rsidRPr="00DE754B">
        <w:rPr>
          <w:rFonts w:asciiTheme="majorHAnsi" w:hAnsiTheme="majorHAnsi" w:cs="Arial"/>
          <w:sz w:val="22"/>
          <w:szCs w:val="22"/>
        </w:rPr>
        <w:t xml:space="preserve"> ha</w:t>
      </w:r>
      <w:r w:rsidR="00F92F81">
        <w:rPr>
          <w:rFonts w:asciiTheme="majorHAnsi" w:hAnsiTheme="majorHAnsi" w:cs="Arial"/>
          <w:sz w:val="22"/>
          <w:szCs w:val="22"/>
        </w:rPr>
        <w:t>s</w:t>
      </w:r>
      <w:r w:rsidRPr="00DE754B">
        <w:rPr>
          <w:rFonts w:asciiTheme="majorHAnsi" w:hAnsiTheme="majorHAnsi" w:cs="Arial"/>
          <w:sz w:val="22"/>
          <w:szCs w:val="22"/>
        </w:rPr>
        <w:t xml:space="preserve"> sought to manage this risk by investing </w:t>
      </w:r>
      <w:r w:rsidR="00C67A8C">
        <w:rPr>
          <w:rFonts w:asciiTheme="majorHAnsi" w:hAnsiTheme="majorHAnsi" w:cs="Arial"/>
          <w:sz w:val="22"/>
          <w:szCs w:val="22"/>
        </w:rPr>
        <w:t xml:space="preserve">either </w:t>
      </w:r>
      <w:r w:rsidRPr="00DE754B">
        <w:rPr>
          <w:rFonts w:asciiTheme="majorHAnsi" w:hAnsiTheme="majorHAnsi" w:cs="Arial"/>
          <w:sz w:val="22"/>
          <w:szCs w:val="22"/>
        </w:rPr>
        <w:t>in sterling deno</w:t>
      </w:r>
      <w:r w:rsidR="00994653">
        <w:rPr>
          <w:rFonts w:asciiTheme="majorHAnsi" w:hAnsiTheme="majorHAnsi" w:cs="Arial"/>
          <w:sz w:val="22"/>
          <w:szCs w:val="22"/>
        </w:rPr>
        <w:t>minated assets</w:t>
      </w:r>
      <w:r w:rsidR="00C67A8C">
        <w:rPr>
          <w:rFonts w:asciiTheme="majorHAnsi" w:hAnsiTheme="majorHAnsi" w:cs="Arial"/>
          <w:sz w:val="22"/>
          <w:szCs w:val="22"/>
        </w:rPr>
        <w:t>, or where it has invested in</w:t>
      </w:r>
      <w:r w:rsidR="00F92F81">
        <w:rPr>
          <w:rFonts w:asciiTheme="majorHAnsi" w:hAnsiTheme="majorHAnsi" w:cs="Arial"/>
          <w:sz w:val="22"/>
          <w:szCs w:val="22"/>
        </w:rPr>
        <w:t xml:space="preserve"> overseas assets</w:t>
      </w:r>
      <w:r w:rsidR="00C67A8C">
        <w:rPr>
          <w:rFonts w:asciiTheme="majorHAnsi" w:hAnsiTheme="majorHAnsi" w:cs="Arial"/>
          <w:sz w:val="22"/>
          <w:szCs w:val="22"/>
        </w:rPr>
        <w:t xml:space="preserve"> to achieve better diversification it has invested in a currency hedged fund.</w:t>
      </w:r>
      <w:r w:rsidR="00994653">
        <w:rPr>
          <w:rFonts w:asciiTheme="majorHAnsi" w:hAnsiTheme="majorHAnsi" w:cs="Arial"/>
          <w:sz w:val="22"/>
          <w:szCs w:val="22"/>
        </w:rPr>
        <w:t xml:space="preserve"> </w:t>
      </w:r>
    </w:p>
    <w:p w14:paraId="561B25C4" w14:textId="77777777" w:rsidR="000F64AD" w:rsidRDefault="000F64AD" w:rsidP="000F64AD">
      <w:pPr>
        <w:pStyle w:val="ListParagraph"/>
        <w:rPr>
          <w:rFonts w:asciiTheme="majorHAnsi" w:hAnsiTheme="majorHAnsi" w:cs="Arial"/>
          <w:sz w:val="22"/>
          <w:szCs w:val="22"/>
        </w:rPr>
      </w:pPr>
    </w:p>
    <w:p w14:paraId="011A2131" w14:textId="67856B97" w:rsidR="000F64AD" w:rsidRDefault="00994653" w:rsidP="000F64AD">
      <w:pPr>
        <w:pStyle w:val="ListBullet"/>
        <w:numPr>
          <w:ilvl w:val="0"/>
          <w:numId w:val="0"/>
        </w:numPr>
        <w:ind w:left="360"/>
        <w:rPr>
          <w:rFonts w:asciiTheme="majorHAnsi" w:hAnsiTheme="majorHAnsi" w:cs="Arial"/>
          <w:sz w:val="22"/>
          <w:szCs w:val="22"/>
        </w:rPr>
      </w:pPr>
      <w:r>
        <w:rPr>
          <w:rFonts w:asciiTheme="majorHAnsi" w:hAnsiTheme="majorHAnsi" w:cs="Arial"/>
          <w:sz w:val="22"/>
          <w:szCs w:val="22"/>
        </w:rPr>
        <w:t xml:space="preserve">The </w:t>
      </w:r>
      <w:r w:rsidR="00542079">
        <w:rPr>
          <w:rFonts w:asciiTheme="majorHAnsi" w:hAnsiTheme="majorHAnsi" w:cs="Arial"/>
          <w:sz w:val="22"/>
          <w:szCs w:val="22"/>
        </w:rPr>
        <w:t>Scheme</w:t>
      </w:r>
      <w:r w:rsidR="00DE754B" w:rsidRPr="00DE754B">
        <w:rPr>
          <w:rFonts w:asciiTheme="majorHAnsi" w:hAnsiTheme="majorHAnsi" w:cs="Arial"/>
          <w:sz w:val="22"/>
          <w:szCs w:val="22"/>
        </w:rPr>
        <w:t xml:space="preserve"> </w:t>
      </w:r>
      <w:r>
        <w:rPr>
          <w:rFonts w:asciiTheme="majorHAnsi" w:hAnsiTheme="majorHAnsi" w:cs="Arial"/>
          <w:sz w:val="22"/>
          <w:szCs w:val="22"/>
        </w:rPr>
        <w:t xml:space="preserve">is </w:t>
      </w:r>
      <w:r w:rsidR="00DE754B" w:rsidRPr="00DE754B">
        <w:rPr>
          <w:rFonts w:asciiTheme="majorHAnsi" w:hAnsiTheme="majorHAnsi" w:cs="Arial"/>
          <w:sz w:val="22"/>
          <w:szCs w:val="22"/>
        </w:rPr>
        <w:t xml:space="preserve">exposed to </w:t>
      </w:r>
      <w:r w:rsidR="00C67A8C">
        <w:rPr>
          <w:rFonts w:asciiTheme="majorHAnsi" w:hAnsiTheme="majorHAnsi" w:cs="Arial"/>
          <w:sz w:val="22"/>
          <w:szCs w:val="22"/>
        </w:rPr>
        <w:t>overseas assets priced in overseas currencies</w:t>
      </w:r>
      <w:r w:rsidR="00DE754B" w:rsidRPr="00DE754B">
        <w:rPr>
          <w:rFonts w:asciiTheme="majorHAnsi" w:hAnsiTheme="majorHAnsi" w:cs="Arial"/>
          <w:sz w:val="22"/>
          <w:szCs w:val="22"/>
        </w:rPr>
        <w:t xml:space="preserve"> </w:t>
      </w:r>
      <w:r>
        <w:rPr>
          <w:rFonts w:asciiTheme="majorHAnsi" w:hAnsiTheme="majorHAnsi" w:cs="Arial"/>
          <w:sz w:val="22"/>
          <w:szCs w:val="22"/>
        </w:rPr>
        <w:t xml:space="preserve">in </w:t>
      </w:r>
      <w:r w:rsidR="00720FC6">
        <w:rPr>
          <w:rFonts w:asciiTheme="majorHAnsi" w:hAnsiTheme="majorHAnsi" w:cs="Arial"/>
          <w:sz w:val="22"/>
          <w:szCs w:val="22"/>
        </w:rPr>
        <w:t>its</w:t>
      </w:r>
      <w:r>
        <w:rPr>
          <w:rFonts w:asciiTheme="majorHAnsi" w:hAnsiTheme="majorHAnsi" w:cs="Arial"/>
          <w:sz w:val="22"/>
          <w:szCs w:val="22"/>
        </w:rPr>
        <w:t xml:space="preserve"> </w:t>
      </w:r>
      <w:r w:rsidR="00C67A8C">
        <w:rPr>
          <w:rFonts w:asciiTheme="majorHAnsi" w:hAnsiTheme="majorHAnsi" w:cs="Arial"/>
          <w:sz w:val="22"/>
          <w:szCs w:val="22"/>
        </w:rPr>
        <w:t xml:space="preserve">buy &amp; maintain credit (which invests in UK and US) and </w:t>
      </w:r>
      <w:r>
        <w:rPr>
          <w:rFonts w:asciiTheme="majorHAnsi" w:hAnsiTheme="majorHAnsi" w:cs="Arial"/>
          <w:sz w:val="22"/>
          <w:szCs w:val="22"/>
        </w:rPr>
        <w:t xml:space="preserve">global equity </w:t>
      </w:r>
      <w:r w:rsidR="00C67A8C">
        <w:rPr>
          <w:rFonts w:asciiTheme="majorHAnsi" w:hAnsiTheme="majorHAnsi" w:cs="Arial"/>
          <w:sz w:val="22"/>
          <w:szCs w:val="22"/>
        </w:rPr>
        <w:t>mandate</w:t>
      </w:r>
      <w:r w:rsidR="00720FC6">
        <w:rPr>
          <w:rFonts w:asciiTheme="majorHAnsi" w:hAnsiTheme="majorHAnsi" w:cs="Arial"/>
          <w:sz w:val="22"/>
          <w:szCs w:val="22"/>
        </w:rPr>
        <w:t>s</w:t>
      </w:r>
      <w:r>
        <w:rPr>
          <w:rFonts w:asciiTheme="majorHAnsi" w:hAnsiTheme="majorHAnsi" w:cs="Arial"/>
          <w:sz w:val="22"/>
          <w:szCs w:val="22"/>
        </w:rPr>
        <w:t>, however,</w:t>
      </w:r>
      <w:r w:rsidR="00DE754B" w:rsidRPr="00DE754B">
        <w:rPr>
          <w:rFonts w:asciiTheme="majorHAnsi" w:hAnsiTheme="majorHAnsi" w:cs="Arial"/>
          <w:sz w:val="22"/>
          <w:szCs w:val="22"/>
        </w:rPr>
        <w:t xml:space="preserve"> the </w:t>
      </w:r>
      <w:r w:rsidR="00C67A8C">
        <w:rPr>
          <w:rFonts w:asciiTheme="majorHAnsi" w:hAnsiTheme="majorHAnsi" w:cs="Arial"/>
          <w:sz w:val="22"/>
          <w:szCs w:val="22"/>
        </w:rPr>
        <w:t xml:space="preserve">Scheme invests in currency-hedged funds where any </w:t>
      </w:r>
      <w:r w:rsidR="00DE754B" w:rsidRPr="00DE754B">
        <w:rPr>
          <w:rFonts w:asciiTheme="majorHAnsi" w:hAnsiTheme="majorHAnsi" w:cs="Arial"/>
          <w:sz w:val="22"/>
          <w:szCs w:val="22"/>
        </w:rPr>
        <w:t>overseas currency exposure is hedged back to</w:t>
      </w:r>
      <w:r w:rsidR="00C67A8C">
        <w:rPr>
          <w:rFonts w:asciiTheme="majorHAnsi" w:hAnsiTheme="majorHAnsi" w:cs="Arial"/>
          <w:sz w:val="22"/>
          <w:szCs w:val="22"/>
        </w:rPr>
        <w:t xml:space="preserve"> </w:t>
      </w:r>
      <w:r w:rsidR="00DE754B" w:rsidRPr="00DE754B">
        <w:rPr>
          <w:rFonts w:asciiTheme="majorHAnsi" w:hAnsiTheme="majorHAnsi" w:cs="Arial"/>
          <w:sz w:val="22"/>
          <w:szCs w:val="22"/>
        </w:rPr>
        <w:t>sterling</w:t>
      </w:r>
      <w:r w:rsidR="00B90A3F">
        <w:rPr>
          <w:rFonts w:asciiTheme="majorHAnsi" w:hAnsiTheme="majorHAnsi" w:cs="Arial"/>
          <w:sz w:val="22"/>
          <w:szCs w:val="22"/>
        </w:rPr>
        <w:t>.</w:t>
      </w:r>
    </w:p>
    <w:p w14:paraId="78712488" w14:textId="2C03C1B7" w:rsidR="005242C9" w:rsidRDefault="005242C9" w:rsidP="00911F33">
      <w:pPr>
        <w:pStyle w:val="ListBullet"/>
        <w:numPr>
          <w:ilvl w:val="0"/>
          <w:numId w:val="0"/>
        </w:numPr>
        <w:rPr>
          <w:rFonts w:asciiTheme="majorHAnsi" w:hAnsiTheme="majorHAnsi" w:cs="Arial"/>
          <w:sz w:val="22"/>
          <w:szCs w:val="22"/>
        </w:rPr>
      </w:pPr>
    </w:p>
    <w:p w14:paraId="7F104AFA" w14:textId="5A50D788" w:rsidR="00DE754B" w:rsidRPr="00DE754B" w:rsidRDefault="00DE754B" w:rsidP="00DE754B">
      <w:pPr>
        <w:pStyle w:val="ListBullet"/>
        <w:numPr>
          <w:ilvl w:val="0"/>
          <w:numId w:val="16"/>
        </w:numPr>
        <w:rPr>
          <w:rFonts w:asciiTheme="majorHAnsi" w:hAnsiTheme="majorHAnsi" w:cs="Arial"/>
          <w:sz w:val="22"/>
          <w:szCs w:val="22"/>
        </w:rPr>
      </w:pPr>
      <w:r w:rsidRPr="00DE754B">
        <w:rPr>
          <w:rFonts w:asciiTheme="majorHAnsi" w:hAnsiTheme="majorHAnsi" w:cs="Arial"/>
          <w:b/>
          <w:sz w:val="22"/>
          <w:szCs w:val="22"/>
        </w:rPr>
        <w:t xml:space="preserve">Manager risk – </w:t>
      </w:r>
      <w:r w:rsidRPr="00DE754B">
        <w:rPr>
          <w:rFonts w:asciiTheme="majorHAnsi" w:hAnsiTheme="majorHAnsi" w:cs="Arial"/>
          <w:sz w:val="22"/>
          <w:szCs w:val="22"/>
        </w:rPr>
        <w:t xml:space="preserve">The failure by the fund manager to achieve the rate of investment return assumed by the </w:t>
      </w:r>
      <w:r w:rsidR="00D158B5">
        <w:rPr>
          <w:rFonts w:asciiTheme="majorHAnsi" w:hAnsiTheme="majorHAnsi" w:cs="Arial"/>
          <w:sz w:val="22"/>
          <w:szCs w:val="22"/>
        </w:rPr>
        <w:t>Trustee</w:t>
      </w:r>
      <w:r w:rsidRPr="00DE754B">
        <w:rPr>
          <w:rFonts w:asciiTheme="majorHAnsi" w:hAnsiTheme="majorHAnsi" w:cs="Arial"/>
          <w:sz w:val="22"/>
          <w:szCs w:val="22"/>
        </w:rPr>
        <w:t xml:space="preserve">. The </w:t>
      </w:r>
      <w:r w:rsidR="00D158B5">
        <w:rPr>
          <w:rFonts w:asciiTheme="majorHAnsi" w:hAnsiTheme="majorHAnsi" w:cs="Arial"/>
          <w:sz w:val="22"/>
          <w:szCs w:val="22"/>
        </w:rPr>
        <w:t>Trustee</w:t>
      </w:r>
      <w:r w:rsidRPr="00DE754B">
        <w:rPr>
          <w:rFonts w:asciiTheme="majorHAnsi" w:hAnsiTheme="majorHAnsi" w:cs="Arial"/>
          <w:sz w:val="22"/>
          <w:szCs w:val="22"/>
        </w:rPr>
        <w:t xml:space="preserve"> monitor</w:t>
      </w:r>
      <w:r w:rsidR="00720FC6">
        <w:rPr>
          <w:rFonts w:asciiTheme="majorHAnsi" w:hAnsiTheme="majorHAnsi" w:cs="Arial"/>
          <w:sz w:val="22"/>
          <w:szCs w:val="22"/>
        </w:rPr>
        <w:t>s</w:t>
      </w:r>
      <w:r w:rsidRPr="00DE754B">
        <w:rPr>
          <w:rFonts w:asciiTheme="majorHAnsi" w:hAnsiTheme="majorHAnsi" w:cs="Arial"/>
          <w:sz w:val="22"/>
          <w:szCs w:val="22"/>
        </w:rPr>
        <w:t xml:space="preserve"> </w:t>
      </w:r>
      <w:r w:rsidR="00B90A3F">
        <w:rPr>
          <w:rFonts w:asciiTheme="majorHAnsi" w:hAnsiTheme="majorHAnsi" w:cs="Arial"/>
          <w:sz w:val="22"/>
          <w:szCs w:val="22"/>
        </w:rPr>
        <w:t>its</w:t>
      </w:r>
      <w:r w:rsidRPr="00DE754B">
        <w:rPr>
          <w:rFonts w:asciiTheme="majorHAnsi" w:hAnsiTheme="majorHAnsi" w:cs="Arial"/>
          <w:sz w:val="22"/>
          <w:szCs w:val="22"/>
        </w:rPr>
        <w:t xml:space="preserve"> manager </w:t>
      </w:r>
      <w:r w:rsidR="00AD451C">
        <w:rPr>
          <w:rFonts w:asciiTheme="majorHAnsi" w:hAnsiTheme="majorHAnsi" w:cs="Arial"/>
          <w:sz w:val="22"/>
          <w:szCs w:val="22"/>
        </w:rPr>
        <w:t>as frequently as appropriate</w:t>
      </w:r>
      <w:r w:rsidRPr="00DE754B">
        <w:rPr>
          <w:rFonts w:asciiTheme="majorHAnsi" w:hAnsiTheme="majorHAnsi" w:cs="Arial"/>
          <w:sz w:val="22"/>
          <w:szCs w:val="22"/>
        </w:rPr>
        <w:t xml:space="preserve"> and compare</w:t>
      </w:r>
      <w:r w:rsidR="00720FC6">
        <w:rPr>
          <w:rFonts w:asciiTheme="majorHAnsi" w:hAnsiTheme="majorHAnsi" w:cs="Arial"/>
          <w:sz w:val="22"/>
          <w:szCs w:val="22"/>
        </w:rPr>
        <w:t>s</w:t>
      </w:r>
      <w:r w:rsidRPr="00DE754B">
        <w:rPr>
          <w:rFonts w:asciiTheme="majorHAnsi" w:hAnsiTheme="majorHAnsi" w:cs="Arial"/>
          <w:sz w:val="22"/>
          <w:szCs w:val="22"/>
        </w:rPr>
        <w:t xml:space="preserve"> the investment returns with the appropriate performance objectives to ensure continuing acceptable performance.</w:t>
      </w:r>
    </w:p>
    <w:p w14:paraId="2F1951FB" w14:textId="77777777" w:rsidR="00DE754B" w:rsidRPr="00DE754B" w:rsidRDefault="00DE754B" w:rsidP="00DE754B">
      <w:pPr>
        <w:pStyle w:val="ListBullet"/>
        <w:numPr>
          <w:ilvl w:val="0"/>
          <w:numId w:val="0"/>
        </w:numPr>
        <w:tabs>
          <w:tab w:val="left" w:pos="720"/>
        </w:tabs>
        <w:rPr>
          <w:rFonts w:asciiTheme="majorHAnsi" w:hAnsiTheme="majorHAnsi" w:cs="Arial"/>
          <w:sz w:val="22"/>
          <w:szCs w:val="22"/>
        </w:rPr>
      </w:pPr>
    </w:p>
    <w:p w14:paraId="3E2BA326" w14:textId="67990F3B" w:rsidR="00550A87" w:rsidRPr="00550A87" w:rsidRDefault="00DE754B" w:rsidP="00550A87">
      <w:pPr>
        <w:pStyle w:val="ListBullet"/>
        <w:numPr>
          <w:ilvl w:val="0"/>
          <w:numId w:val="16"/>
        </w:numPr>
        <w:rPr>
          <w:rFonts w:asciiTheme="majorHAnsi" w:hAnsiTheme="majorHAnsi" w:cs="Arial"/>
          <w:sz w:val="22"/>
          <w:szCs w:val="22"/>
        </w:rPr>
      </w:pPr>
      <w:r w:rsidRPr="00DE754B">
        <w:rPr>
          <w:rFonts w:asciiTheme="majorHAnsi" w:hAnsiTheme="majorHAnsi" w:cs="Arial"/>
          <w:b/>
          <w:sz w:val="22"/>
          <w:szCs w:val="22"/>
        </w:rPr>
        <w:t>Liquidity risk –</w:t>
      </w:r>
      <w:r w:rsidRPr="00DE754B">
        <w:rPr>
          <w:rFonts w:asciiTheme="majorHAnsi" w:hAnsiTheme="majorHAnsi" w:cs="Arial"/>
          <w:sz w:val="22"/>
          <w:szCs w:val="22"/>
        </w:rPr>
        <w:t xml:space="preserve"> The risk of a shortfall of liquid assets relative to the </w:t>
      </w:r>
      <w:r w:rsidR="00542079">
        <w:rPr>
          <w:rFonts w:asciiTheme="majorHAnsi" w:hAnsiTheme="majorHAnsi" w:cs="Arial"/>
          <w:sz w:val="22"/>
          <w:szCs w:val="22"/>
        </w:rPr>
        <w:t>Scheme</w:t>
      </w:r>
      <w:r w:rsidRPr="00DE754B">
        <w:rPr>
          <w:rFonts w:asciiTheme="majorHAnsi" w:hAnsiTheme="majorHAnsi" w:cs="Arial"/>
          <w:sz w:val="22"/>
          <w:szCs w:val="22"/>
        </w:rPr>
        <w:t xml:space="preserve">’s immediate </w:t>
      </w:r>
      <w:r w:rsidR="00AD451C">
        <w:rPr>
          <w:rFonts w:asciiTheme="majorHAnsi" w:hAnsiTheme="majorHAnsi" w:cs="Arial"/>
          <w:sz w:val="22"/>
          <w:szCs w:val="22"/>
        </w:rPr>
        <w:t>liability cashflow requirements</w:t>
      </w:r>
      <w:r w:rsidRPr="00DE754B">
        <w:rPr>
          <w:rFonts w:asciiTheme="majorHAnsi" w:hAnsiTheme="majorHAnsi" w:cs="Arial"/>
          <w:sz w:val="22"/>
          <w:szCs w:val="22"/>
        </w:rPr>
        <w:t xml:space="preserve">. </w:t>
      </w:r>
      <w:r w:rsidR="00550A87">
        <w:rPr>
          <w:rFonts w:asciiTheme="majorHAnsi" w:hAnsiTheme="majorHAnsi" w:cs="Arial"/>
          <w:sz w:val="22"/>
          <w:szCs w:val="22"/>
        </w:rPr>
        <w:t xml:space="preserve">The </w:t>
      </w:r>
      <w:r w:rsidR="00542079">
        <w:rPr>
          <w:rFonts w:asciiTheme="majorHAnsi" w:hAnsiTheme="majorHAnsi" w:cs="Arial"/>
          <w:sz w:val="22"/>
          <w:szCs w:val="22"/>
        </w:rPr>
        <w:t>Scheme</w:t>
      </w:r>
      <w:r w:rsidR="00550A87">
        <w:rPr>
          <w:rFonts w:asciiTheme="majorHAnsi" w:hAnsiTheme="majorHAnsi" w:cs="Arial"/>
          <w:sz w:val="22"/>
          <w:szCs w:val="22"/>
        </w:rPr>
        <w:t xml:space="preserve"> invests in assets such that there is a sufficient allocation to liquid investments that can be converted into cash at short notice given the </w:t>
      </w:r>
      <w:r w:rsidR="00542079">
        <w:rPr>
          <w:rFonts w:asciiTheme="majorHAnsi" w:hAnsiTheme="majorHAnsi" w:cs="Arial"/>
          <w:sz w:val="22"/>
          <w:szCs w:val="22"/>
        </w:rPr>
        <w:t>Scheme</w:t>
      </w:r>
      <w:r w:rsidR="00550A87">
        <w:rPr>
          <w:rFonts w:asciiTheme="majorHAnsi" w:hAnsiTheme="majorHAnsi" w:cs="Arial"/>
          <w:sz w:val="22"/>
          <w:szCs w:val="22"/>
        </w:rPr>
        <w:t xml:space="preserve">’s cash flow requirements. </w:t>
      </w:r>
    </w:p>
    <w:p w14:paraId="1316DEBC" w14:textId="77777777" w:rsidR="00DE754B" w:rsidRPr="00DE754B" w:rsidRDefault="00DE754B" w:rsidP="00DE754B">
      <w:pPr>
        <w:pStyle w:val="ListBullet"/>
        <w:numPr>
          <w:ilvl w:val="0"/>
          <w:numId w:val="0"/>
        </w:numPr>
        <w:tabs>
          <w:tab w:val="left" w:pos="720"/>
        </w:tabs>
        <w:rPr>
          <w:rFonts w:asciiTheme="majorHAnsi" w:hAnsiTheme="majorHAnsi" w:cs="Arial"/>
          <w:sz w:val="22"/>
          <w:szCs w:val="22"/>
        </w:rPr>
      </w:pPr>
    </w:p>
    <w:p w14:paraId="6F6B9F8C" w14:textId="6A69521F" w:rsidR="00DE754B" w:rsidRPr="00884830" w:rsidRDefault="00DE754B" w:rsidP="00DE754B">
      <w:pPr>
        <w:pStyle w:val="ListBullet"/>
        <w:numPr>
          <w:ilvl w:val="0"/>
          <w:numId w:val="16"/>
        </w:numPr>
        <w:rPr>
          <w:rFonts w:asciiTheme="majorHAnsi" w:hAnsiTheme="majorHAnsi" w:cs="Arial"/>
          <w:b/>
          <w:sz w:val="22"/>
          <w:szCs w:val="22"/>
        </w:rPr>
      </w:pPr>
      <w:r w:rsidRPr="00DE754B">
        <w:rPr>
          <w:rFonts w:asciiTheme="majorHAnsi" w:hAnsiTheme="majorHAnsi" w:cs="Arial"/>
          <w:b/>
          <w:sz w:val="22"/>
          <w:szCs w:val="22"/>
        </w:rPr>
        <w:t xml:space="preserve">Concentration risk – </w:t>
      </w:r>
      <w:r w:rsidRPr="00DE754B">
        <w:rPr>
          <w:rFonts w:asciiTheme="majorHAnsi" w:hAnsiTheme="majorHAnsi" w:cs="Arial"/>
          <w:sz w:val="22"/>
          <w:szCs w:val="22"/>
        </w:rPr>
        <w:t xml:space="preserve">The failure to spread investment risk. This risk is to some extent mitigated through the use of pooled funds to gain investment exposure to the asset classes the </w:t>
      </w:r>
      <w:r w:rsidR="00542079">
        <w:rPr>
          <w:rFonts w:asciiTheme="majorHAnsi" w:hAnsiTheme="majorHAnsi" w:cs="Arial"/>
          <w:sz w:val="22"/>
          <w:szCs w:val="22"/>
        </w:rPr>
        <w:t>Scheme</w:t>
      </w:r>
      <w:r w:rsidRPr="00DE754B">
        <w:rPr>
          <w:rFonts w:asciiTheme="majorHAnsi" w:hAnsiTheme="majorHAnsi" w:cs="Arial"/>
          <w:sz w:val="22"/>
          <w:szCs w:val="22"/>
        </w:rPr>
        <w:t xml:space="preserve"> invests in. In respect of diversification between asset classes, the </w:t>
      </w:r>
      <w:r w:rsidR="00D158B5">
        <w:rPr>
          <w:rFonts w:asciiTheme="majorHAnsi" w:hAnsiTheme="majorHAnsi" w:cs="Arial"/>
          <w:sz w:val="22"/>
          <w:szCs w:val="22"/>
        </w:rPr>
        <w:t>Trustee</w:t>
      </w:r>
      <w:r w:rsidRPr="00DE754B">
        <w:rPr>
          <w:rFonts w:asciiTheme="majorHAnsi" w:hAnsiTheme="majorHAnsi" w:cs="Arial"/>
          <w:sz w:val="22"/>
          <w:szCs w:val="22"/>
        </w:rPr>
        <w:t xml:space="preserve"> and </w:t>
      </w:r>
      <w:r w:rsidR="00720FC6">
        <w:rPr>
          <w:rFonts w:asciiTheme="majorHAnsi" w:hAnsiTheme="majorHAnsi" w:cs="Arial"/>
          <w:sz w:val="22"/>
          <w:szCs w:val="22"/>
        </w:rPr>
        <w:t>its</w:t>
      </w:r>
      <w:r w:rsidRPr="00DE754B">
        <w:rPr>
          <w:rFonts w:asciiTheme="majorHAnsi" w:hAnsiTheme="majorHAnsi" w:cs="Arial"/>
          <w:sz w:val="22"/>
          <w:szCs w:val="22"/>
        </w:rPr>
        <w:t xml:space="preserve"> advisor considered this risk when setting the </w:t>
      </w:r>
      <w:r w:rsidR="00542079">
        <w:rPr>
          <w:rFonts w:asciiTheme="majorHAnsi" w:hAnsiTheme="majorHAnsi" w:cs="Arial"/>
          <w:sz w:val="22"/>
          <w:szCs w:val="22"/>
        </w:rPr>
        <w:t>Scheme</w:t>
      </w:r>
      <w:r w:rsidRPr="00DE754B">
        <w:rPr>
          <w:rFonts w:asciiTheme="majorHAnsi" w:hAnsiTheme="majorHAnsi" w:cs="Arial"/>
          <w:sz w:val="22"/>
          <w:szCs w:val="22"/>
        </w:rPr>
        <w:t>’s investment strategy.</w:t>
      </w:r>
      <w:r w:rsidRPr="00DE754B">
        <w:rPr>
          <w:rFonts w:asciiTheme="majorHAnsi" w:hAnsiTheme="majorHAnsi" w:cs="Arial"/>
          <w:b/>
          <w:sz w:val="22"/>
          <w:szCs w:val="22"/>
        </w:rPr>
        <w:t xml:space="preserve"> </w:t>
      </w:r>
      <w:r w:rsidRPr="00DE754B">
        <w:rPr>
          <w:rFonts w:asciiTheme="majorHAnsi" w:hAnsiTheme="majorHAnsi" w:cs="Arial"/>
          <w:sz w:val="22"/>
          <w:szCs w:val="22"/>
        </w:rPr>
        <w:t xml:space="preserve">The </w:t>
      </w:r>
      <w:r w:rsidR="00D158B5">
        <w:rPr>
          <w:rFonts w:asciiTheme="majorHAnsi" w:hAnsiTheme="majorHAnsi" w:cs="Arial"/>
          <w:sz w:val="22"/>
          <w:szCs w:val="22"/>
        </w:rPr>
        <w:t>Trustee</w:t>
      </w:r>
      <w:r w:rsidRPr="00DE754B">
        <w:rPr>
          <w:rFonts w:asciiTheme="majorHAnsi" w:hAnsiTheme="majorHAnsi" w:cs="Arial"/>
          <w:sz w:val="22"/>
          <w:szCs w:val="22"/>
        </w:rPr>
        <w:t xml:space="preserve"> ha</w:t>
      </w:r>
      <w:r w:rsidR="00720FC6">
        <w:rPr>
          <w:rFonts w:asciiTheme="majorHAnsi" w:hAnsiTheme="majorHAnsi" w:cs="Arial"/>
          <w:sz w:val="22"/>
          <w:szCs w:val="22"/>
        </w:rPr>
        <w:t>s</w:t>
      </w:r>
      <w:r w:rsidRPr="00DE754B">
        <w:rPr>
          <w:rFonts w:asciiTheme="majorHAnsi" w:hAnsiTheme="majorHAnsi" w:cs="Arial"/>
          <w:sz w:val="22"/>
          <w:szCs w:val="22"/>
        </w:rPr>
        <w:t xml:space="preserve"> adopted a strategy that ensures that</w:t>
      </w:r>
      <w:r w:rsidR="00720FC6">
        <w:rPr>
          <w:rFonts w:asciiTheme="majorHAnsi" w:hAnsiTheme="majorHAnsi" w:cs="Arial"/>
          <w:sz w:val="22"/>
          <w:szCs w:val="22"/>
        </w:rPr>
        <w:t xml:space="preserve"> there is not a majority of assets invested in </w:t>
      </w:r>
      <w:r w:rsidR="00743B4B">
        <w:rPr>
          <w:rFonts w:asciiTheme="majorHAnsi" w:hAnsiTheme="majorHAnsi" w:cs="Arial"/>
          <w:sz w:val="22"/>
          <w:szCs w:val="22"/>
        </w:rPr>
        <w:t xml:space="preserve">any </w:t>
      </w:r>
      <w:r w:rsidR="00720FC6">
        <w:rPr>
          <w:rFonts w:asciiTheme="majorHAnsi" w:hAnsiTheme="majorHAnsi" w:cs="Arial"/>
          <w:sz w:val="22"/>
          <w:szCs w:val="22"/>
        </w:rPr>
        <w:t>one asset class and that</w:t>
      </w:r>
      <w:r w:rsidRPr="00DE754B">
        <w:rPr>
          <w:rFonts w:asciiTheme="majorHAnsi" w:hAnsiTheme="majorHAnsi" w:cs="Arial"/>
          <w:sz w:val="22"/>
          <w:szCs w:val="22"/>
        </w:rPr>
        <w:t xml:space="preserve"> the risk of an adverse influence on investment </w:t>
      </w:r>
      <w:r w:rsidRPr="00884830">
        <w:rPr>
          <w:rFonts w:asciiTheme="majorHAnsi" w:hAnsiTheme="majorHAnsi" w:cs="Arial"/>
          <w:sz w:val="22"/>
          <w:szCs w:val="22"/>
        </w:rPr>
        <w:t>values from the poor performance of a small number of individual investments is reduced by diversification of the assets:</w:t>
      </w:r>
    </w:p>
    <w:p w14:paraId="0ED4A21E" w14:textId="7F499A56" w:rsidR="00DE754B" w:rsidRPr="00884830" w:rsidRDefault="00DE754B" w:rsidP="004B6234">
      <w:pPr>
        <w:pStyle w:val="ListBullet"/>
        <w:numPr>
          <w:ilvl w:val="0"/>
          <w:numId w:val="42"/>
        </w:numPr>
        <w:rPr>
          <w:rFonts w:asciiTheme="majorHAnsi" w:hAnsiTheme="majorHAnsi" w:cs="Arial"/>
          <w:sz w:val="22"/>
          <w:szCs w:val="22"/>
        </w:rPr>
      </w:pPr>
      <w:r w:rsidRPr="00884830">
        <w:rPr>
          <w:rFonts w:asciiTheme="majorHAnsi" w:hAnsiTheme="majorHAnsi" w:cs="Arial"/>
          <w:sz w:val="22"/>
          <w:szCs w:val="22"/>
        </w:rPr>
        <w:t xml:space="preserve">By asset class (Global Equities, </w:t>
      </w:r>
      <w:r w:rsidR="00542079">
        <w:rPr>
          <w:rFonts w:asciiTheme="majorHAnsi" w:hAnsiTheme="majorHAnsi" w:cs="Arial"/>
          <w:sz w:val="22"/>
          <w:szCs w:val="22"/>
        </w:rPr>
        <w:t>Buy &amp; Maintain Credit</w:t>
      </w:r>
      <w:r w:rsidRPr="00884830">
        <w:rPr>
          <w:rFonts w:asciiTheme="majorHAnsi" w:hAnsiTheme="majorHAnsi" w:cs="Arial"/>
          <w:sz w:val="22"/>
          <w:szCs w:val="22"/>
        </w:rPr>
        <w:t xml:space="preserve">, </w:t>
      </w:r>
      <w:r w:rsidR="00720FC6">
        <w:rPr>
          <w:rFonts w:asciiTheme="majorHAnsi" w:hAnsiTheme="majorHAnsi" w:cs="Arial"/>
          <w:sz w:val="22"/>
          <w:szCs w:val="22"/>
        </w:rPr>
        <w:t>LDI</w:t>
      </w:r>
      <w:r w:rsidR="00542079">
        <w:rPr>
          <w:rFonts w:asciiTheme="majorHAnsi" w:hAnsiTheme="majorHAnsi" w:cs="Arial"/>
          <w:sz w:val="22"/>
          <w:szCs w:val="22"/>
        </w:rPr>
        <w:t>)</w:t>
      </w:r>
      <w:r w:rsidR="00720FC6">
        <w:rPr>
          <w:rFonts w:asciiTheme="majorHAnsi" w:hAnsiTheme="majorHAnsi" w:cs="Arial"/>
          <w:sz w:val="22"/>
          <w:szCs w:val="22"/>
        </w:rPr>
        <w:t>; and</w:t>
      </w:r>
    </w:p>
    <w:p w14:paraId="0E5C0DE0" w14:textId="36D0A3A6" w:rsidR="00DE754B" w:rsidRDefault="00DE754B" w:rsidP="004B6234">
      <w:pPr>
        <w:pStyle w:val="ListBullet"/>
        <w:numPr>
          <w:ilvl w:val="0"/>
          <w:numId w:val="42"/>
        </w:numPr>
        <w:rPr>
          <w:rFonts w:asciiTheme="majorHAnsi" w:hAnsiTheme="majorHAnsi" w:cs="Arial"/>
          <w:sz w:val="22"/>
          <w:szCs w:val="22"/>
        </w:rPr>
      </w:pPr>
      <w:r w:rsidRPr="00884830">
        <w:rPr>
          <w:rFonts w:asciiTheme="majorHAnsi" w:hAnsiTheme="majorHAnsi" w:cs="Arial"/>
          <w:sz w:val="22"/>
          <w:szCs w:val="22"/>
        </w:rPr>
        <w:t>By region (</w:t>
      </w:r>
      <w:r w:rsidR="00E14B43" w:rsidRPr="00884830">
        <w:rPr>
          <w:rFonts w:asciiTheme="majorHAnsi" w:hAnsiTheme="majorHAnsi" w:cs="Arial"/>
          <w:sz w:val="22"/>
          <w:szCs w:val="22"/>
        </w:rPr>
        <w:t>Global Equities</w:t>
      </w:r>
      <w:r w:rsidR="00B23930">
        <w:rPr>
          <w:rFonts w:asciiTheme="majorHAnsi" w:hAnsiTheme="majorHAnsi" w:cs="Arial"/>
          <w:sz w:val="22"/>
          <w:szCs w:val="22"/>
        </w:rPr>
        <w:t>, Buy &amp; Maintain Credit</w:t>
      </w:r>
      <w:r w:rsidRPr="00884830">
        <w:rPr>
          <w:rFonts w:asciiTheme="majorHAnsi" w:hAnsiTheme="majorHAnsi" w:cs="Arial"/>
          <w:sz w:val="22"/>
          <w:szCs w:val="22"/>
        </w:rPr>
        <w:t>).</w:t>
      </w:r>
    </w:p>
    <w:p w14:paraId="14B0164C" w14:textId="7D2F4C57" w:rsidR="00B90A3F" w:rsidRPr="000F5CA3" w:rsidRDefault="00B90A3F" w:rsidP="00911F33">
      <w:pPr>
        <w:pStyle w:val="Normalplus"/>
        <w:widowControl/>
        <w:spacing w:after="240"/>
        <w:ind w:left="360"/>
        <w:rPr>
          <w:rFonts w:asciiTheme="minorHAnsi" w:hAnsiTheme="minorHAnsi" w:cs="Times New Roman"/>
          <w:sz w:val="22"/>
          <w:szCs w:val="22"/>
        </w:rPr>
      </w:pPr>
      <w:r w:rsidRPr="00C618A6">
        <w:rPr>
          <w:rFonts w:asciiTheme="minorHAnsi" w:hAnsiTheme="minorHAnsi" w:cs="Times New Roman"/>
          <w:sz w:val="22"/>
          <w:szCs w:val="22"/>
        </w:rPr>
        <w:t xml:space="preserve">Over the </w:t>
      </w:r>
      <w:r w:rsidRPr="00C618A6">
        <w:rPr>
          <w:rFonts w:asciiTheme="minorHAnsi" w:hAnsiTheme="minorHAnsi" w:cs="Times New Roman"/>
          <w:b/>
          <w:bCs/>
          <w:sz w:val="22"/>
          <w:szCs w:val="22"/>
        </w:rPr>
        <w:t>medium term</w:t>
      </w:r>
      <w:r>
        <w:rPr>
          <w:rFonts w:asciiTheme="minorHAnsi" w:hAnsiTheme="minorHAnsi" w:cs="Times New Roman"/>
          <w:sz w:val="22"/>
          <w:szCs w:val="22"/>
        </w:rPr>
        <w:t>, the Trustee will monitor</w:t>
      </w:r>
      <w:r w:rsidRPr="00C618A6">
        <w:rPr>
          <w:rFonts w:asciiTheme="minorHAnsi" w:hAnsiTheme="minorHAnsi" w:cs="Times New Roman"/>
          <w:sz w:val="22"/>
          <w:szCs w:val="22"/>
        </w:rPr>
        <w:t xml:space="preserve"> opportunities to</w:t>
      </w:r>
      <w:r>
        <w:rPr>
          <w:rFonts w:asciiTheme="minorHAnsi" w:hAnsiTheme="minorHAnsi" w:cs="Times New Roman"/>
          <w:sz w:val="22"/>
          <w:szCs w:val="22"/>
        </w:rPr>
        <w:t xml:space="preserve"> diversify</w:t>
      </w:r>
      <w:r w:rsidRPr="00C618A6">
        <w:rPr>
          <w:rFonts w:asciiTheme="minorHAnsi" w:hAnsiTheme="minorHAnsi" w:cs="Times New Roman"/>
          <w:sz w:val="22"/>
          <w:szCs w:val="22"/>
        </w:rPr>
        <w:t xml:space="preserve"> </w:t>
      </w:r>
      <w:r>
        <w:rPr>
          <w:rFonts w:asciiTheme="minorHAnsi" w:hAnsiTheme="minorHAnsi" w:cs="Times New Roman"/>
          <w:sz w:val="22"/>
          <w:szCs w:val="22"/>
        </w:rPr>
        <w:t xml:space="preserve">the Scheme’s return seeking asset portfolio in order to further </w:t>
      </w:r>
      <w:r w:rsidRPr="00C618A6">
        <w:rPr>
          <w:rFonts w:asciiTheme="minorHAnsi" w:hAnsiTheme="minorHAnsi" w:cs="Times New Roman"/>
          <w:sz w:val="22"/>
          <w:szCs w:val="22"/>
        </w:rPr>
        <w:t>reduce the level of risk associate</w:t>
      </w:r>
      <w:r>
        <w:rPr>
          <w:rFonts w:asciiTheme="minorHAnsi" w:hAnsiTheme="minorHAnsi" w:cs="Times New Roman"/>
          <w:sz w:val="22"/>
          <w:szCs w:val="22"/>
        </w:rPr>
        <w:t>d with the investment strategy when appropriate and with advice from its advisor.</w:t>
      </w:r>
    </w:p>
    <w:p w14:paraId="4A5D6A10" w14:textId="544A168C" w:rsidR="00DE754B" w:rsidRPr="00DE754B" w:rsidRDefault="00DE754B" w:rsidP="00DE754B">
      <w:pPr>
        <w:pStyle w:val="ListBullet"/>
        <w:numPr>
          <w:ilvl w:val="0"/>
          <w:numId w:val="16"/>
        </w:numPr>
        <w:rPr>
          <w:rFonts w:asciiTheme="majorHAnsi" w:hAnsiTheme="majorHAnsi" w:cs="Arial"/>
          <w:sz w:val="22"/>
          <w:szCs w:val="22"/>
        </w:rPr>
      </w:pPr>
      <w:r w:rsidRPr="00DE754B">
        <w:rPr>
          <w:rFonts w:asciiTheme="majorHAnsi" w:hAnsiTheme="majorHAnsi" w:cs="Arial"/>
          <w:b/>
          <w:sz w:val="22"/>
          <w:szCs w:val="22"/>
        </w:rPr>
        <w:t>Covenant risk –</w:t>
      </w:r>
      <w:r w:rsidRPr="00DE754B">
        <w:rPr>
          <w:rFonts w:asciiTheme="majorHAnsi" w:hAnsiTheme="majorHAnsi" w:cs="Arial"/>
          <w:sz w:val="22"/>
          <w:szCs w:val="22"/>
        </w:rPr>
        <w:t xml:space="preserve"> The risk of failure of the </w:t>
      </w:r>
      <w:r w:rsidR="00485251">
        <w:rPr>
          <w:rFonts w:asciiTheme="majorHAnsi" w:hAnsiTheme="majorHAnsi" w:cs="Arial"/>
          <w:sz w:val="22"/>
          <w:szCs w:val="22"/>
        </w:rPr>
        <w:t>Principal Employer</w:t>
      </w:r>
      <w:r w:rsidRPr="00DE754B">
        <w:rPr>
          <w:rFonts w:asciiTheme="majorHAnsi" w:hAnsiTheme="majorHAnsi" w:cs="Arial"/>
          <w:sz w:val="22"/>
          <w:szCs w:val="22"/>
        </w:rPr>
        <w:t xml:space="preserve">. The </w:t>
      </w:r>
      <w:r w:rsidR="00D158B5">
        <w:rPr>
          <w:rFonts w:asciiTheme="majorHAnsi" w:hAnsiTheme="majorHAnsi" w:cs="Arial"/>
          <w:sz w:val="22"/>
          <w:szCs w:val="22"/>
        </w:rPr>
        <w:t>Trustee</w:t>
      </w:r>
      <w:r w:rsidRPr="00DE754B">
        <w:rPr>
          <w:rFonts w:asciiTheme="majorHAnsi" w:hAnsiTheme="majorHAnsi" w:cs="Arial"/>
          <w:sz w:val="22"/>
          <w:szCs w:val="22"/>
        </w:rPr>
        <w:t xml:space="preserve"> ha</w:t>
      </w:r>
      <w:r w:rsidR="00743B4B">
        <w:rPr>
          <w:rFonts w:asciiTheme="majorHAnsi" w:hAnsiTheme="majorHAnsi" w:cs="Arial"/>
          <w:sz w:val="22"/>
          <w:szCs w:val="22"/>
        </w:rPr>
        <w:t>s</w:t>
      </w:r>
      <w:r w:rsidRPr="00DE754B">
        <w:rPr>
          <w:rFonts w:asciiTheme="majorHAnsi" w:hAnsiTheme="majorHAnsi" w:cs="Arial"/>
          <w:sz w:val="22"/>
          <w:szCs w:val="22"/>
        </w:rPr>
        <w:t xml:space="preserve"> considered the risk that the Principal Employer may be unwilling or unable to maintain</w:t>
      </w:r>
      <w:r w:rsidR="00D04E67">
        <w:rPr>
          <w:rFonts w:asciiTheme="majorHAnsi" w:hAnsiTheme="majorHAnsi" w:cs="Arial"/>
          <w:sz w:val="22"/>
          <w:szCs w:val="22"/>
        </w:rPr>
        <w:t xml:space="preserve"> any</w:t>
      </w:r>
      <w:r w:rsidRPr="00DE754B">
        <w:rPr>
          <w:rFonts w:asciiTheme="majorHAnsi" w:hAnsiTheme="majorHAnsi" w:cs="Arial"/>
          <w:sz w:val="22"/>
          <w:szCs w:val="22"/>
        </w:rPr>
        <w:t xml:space="preserve"> necessary level of contributions in future</w:t>
      </w:r>
      <w:r w:rsidR="00AD451C">
        <w:rPr>
          <w:rFonts w:asciiTheme="majorHAnsi" w:hAnsiTheme="majorHAnsi" w:cs="Arial"/>
          <w:sz w:val="22"/>
          <w:szCs w:val="22"/>
        </w:rPr>
        <w:t xml:space="preserve">. The </w:t>
      </w:r>
      <w:r w:rsidR="00542079">
        <w:rPr>
          <w:rFonts w:asciiTheme="majorHAnsi" w:hAnsiTheme="majorHAnsi" w:cs="Arial"/>
          <w:sz w:val="22"/>
          <w:szCs w:val="22"/>
        </w:rPr>
        <w:t>Scheme</w:t>
      </w:r>
      <w:r w:rsidR="00AD451C">
        <w:rPr>
          <w:rFonts w:asciiTheme="majorHAnsi" w:hAnsiTheme="majorHAnsi" w:cs="Arial"/>
          <w:sz w:val="22"/>
          <w:szCs w:val="22"/>
        </w:rPr>
        <w:t xml:space="preserve">’s funding position relative to the strength of the </w:t>
      </w:r>
      <w:r w:rsidR="00485251">
        <w:rPr>
          <w:rFonts w:asciiTheme="majorHAnsi" w:hAnsiTheme="majorHAnsi" w:cs="Arial"/>
          <w:sz w:val="22"/>
          <w:szCs w:val="22"/>
        </w:rPr>
        <w:t>Principal Employer</w:t>
      </w:r>
      <w:r w:rsidR="00AD451C">
        <w:rPr>
          <w:rFonts w:asciiTheme="majorHAnsi" w:hAnsiTheme="majorHAnsi" w:cs="Arial"/>
          <w:sz w:val="22"/>
          <w:szCs w:val="22"/>
        </w:rPr>
        <w:t xml:space="preserve"> is monitored on a regular basis. The </w:t>
      </w:r>
      <w:r w:rsidR="00D158B5">
        <w:rPr>
          <w:rFonts w:asciiTheme="majorHAnsi" w:hAnsiTheme="majorHAnsi" w:cs="Arial"/>
          <w:sz w:val="22"/>
          <w:szCs w:val="22"/>
        </w:rPr>
        <w:t>Trustee</w:t>
      </w:r>
      <w:r w:rsidR="00AD451C">
        <w:rPr>
          <w:rFonts w:asciiTheme="majorHAnsi" w:hAnsiTheme="majorHAnsi" w:cs="Arial"/>
          <w:sz w:val="22"/>
          <w:szCs w:val="22"/>
        </w:rPr>
        <w:t xml:space="preserve"> consider</w:t>
      </w:r>
      <w:r w:rsidR="00743B4B">
        <w:rPr>
          <w:rFonts w:asciiTheme="majorHAnsi" w:hAnsiTheme="majorHAnsi" w:cs="Arial"/>
          <w:sz w:val="22"/>
          <w:szCs w:val="22"/>
        </w:rPr>
        <w:t>s</w:t>
      </w:r>
      <w:r w:rsidR="00AD451C">
        <w:rPr>
          <w:rFonts w:asciiTheme="majorHAnsi" w:hAnsiTheme="majorHAnsi" w:cs="Arial"/>
          <w:sz w:val="22"/>
          <w:szCs w:val="22"/>
        </w:rPr>
        <w:t xml:space="preserve"> this when assessing the appropriate level of investment risk to have within the investment strategy.</w:t>
      </w:r>
      <w:r w:rsidR="00D672F5">
        <w:rPr>
          <w:rFonts w:asciiTheme="majorHAnsi" w:hAnsiTheme="majorHAnsi" w:cs="Arial"/>
          <w:sz w:val="22"/>
          <w:szCs w:val="22"/>
        </w:rPr>
        <w:t xml:space="preserve"> There is a parent company guarantee in place from Galderma SA so this assessment extends to the strength of the parent.</w:t>
      </w:r>
    </w:p>
    <w:p w14:paraId="7CBABD9A" w14:textId="77777777" w:rsidR="00DE754B" w:rsidRPr="00DE754B" w:rsidRDefault="00DE754B" w:rsidP="00DE754B">
      <w:pPr>
        <w:pStyle w:val="ListParagraph"/>
        <w:rPr>
          <w:rFonts w:asciiTheme="majorHAnsi" w:hAnsiTheme="majorHAnsi" w:cs="Arial"/>
          <w:sz w:val="22"/>
          <w:szCs w:val="22"/>
        </w:rPr>
      </w:pPr>
    </w:p>
    <w:p w14:paraId="63292B1C" w14:textId="47AA46B6" w:rsidR="00DE754B" w:rsidRDefault="00DE754B" w:rsidP="0077218F">
      <w:pPr>
        <w:pStyle w:val="ListBullet"/>
        <w:numPr>
          <w:ilvl w:val="0"/>
          <w:numId w:val="16"/>
        </w:numPr>
        <w:rPr>
          <w:rFonts w:asciiTheme="majorHAnsi" w:hAnsiTheme="majorHAnsi" w:cs="Arial"/>
          <w:sz w:val="22"/>
          <w:szCs w:val="22"/>
        </w:rPr>
      </w:pPr>
      <w:r w:rsidRPr="00DE754B">
        <w:rPr>
          <w:rFonts w:asciiTheme="majorHAnsi" w:hAnsiTheme="majorHAnsi" w:cs="Arial"/>
          <w:b/>
          <w:sz w:val="22"/>
          <w:szCs w:val="22"/>
        </w:rPr>
        <w:t>Market risk –</w:t>
      </w:r>
      <w:r w:rsidRPr="00DE754B">
        <w:rPr>
          <w:rFonts w:asciiTheme="majorHAnsi" w:hAnsiTheme="majorHAnsi" w:cs="Arial"/>
          <w:sz w:val="22"/>
          <w:szCs w:val="22"/>
        </w:rPr>
        <w:t xml:space="preserve"> The value of securities, including equities, </w:t>
      </w:r>
      <w:r w:rsidR="00542079">
        <w:rPr>
          <w:rFonts w:asciiTheme="majorHAnsi" w:hAnsiTheme="majorHAnsi" w:cs="Arial"/>
          <w:sz w:val="22"/>
          <w:szCs w:val="22"/>
        </w:rPr>
        <w:t>ground rents</w:t>
      </w:r>
      <w:r w:rsidRPr="00DE754B">
        <w:rPr>
          <w:rFonts w:asciiTheme="majorHAnsi" w:hAnsiTheme="majorHAnsi" w:cs="Arial"/>
          <w:sz w:val="22"/>
          <w:szCs w:val="22"/>
        </w:rPr>
        <w:t xml:space="preserve"> and </w:t>
      </w:r>
      <w:r w:rsidR="00774AE6" w:rsidRPr="00DE754B">
        <w:rPr>
          <w:rFonts w:asciiTheme="majorHAnsi" w:hAnsiTheme="majorHAnsi" w:cs="Arial"/>
          <w:sz w:val="22"/>
          <w:szCs w:val="22"/>
        </w:rPr>
        <w:t>interest-bearing</w:t>
      </w:r>
      <w:r w:rsidRPr="00DE754B">
        <w:rPr>
          <w:rFonts w:asciiTheme="majorHAnsi" w:hAnsiTheme="majorHAnsi" w:cs="Arial"/>
          <w:sz w:val="22"/>
          <w:szCs w:val="22"/>
        </w:rPr>
        <w:t xml:space="preserve"> assets, can go down as well as up. The </w:t>
      </w:r>
      <w:r w:rsidR="00542079">
        <w:rPr>
          <w:rFonts w:asciiTheme="majorHAnsi" w:hAnsiTheme="majorHAnsi" w:cs="Arial"/>
          <w:sz w:val="22"/>
          <w:szCs w:val="22"/>
        </w:rPr>
        <w:t>Scheme</w:t>
      </w:r>
      <w:r w:rsidRPr="00DE754B">
        <w:rPr>
          <w:rFonts w:asciiTheme="majorHAnsi" w:hAnsiTheme="majorHAnsi" w:cs="Arial"/>
          <w:sz w:val="22"/>
          <w:szCs w:val="22"/>
        </w:rPr>
        <w:t xml:space="preserve"> may not get back the amount invested. However, the </w:t>
      </w:r>
      <w:r w:rsidR="00D158B5">
        <w:rPr>
          <w:rFonts w:asciiTheme="majorHAnsi" w:hAnsiTheme="majorHAnsi" w:cs="Arial"/>
          <w:sz w:val="22"/>
          <w:szCs w:val="22"/>
        </w:rPr>
        <w:t>Trustee</w:t>
      </w:r>
      <w:r w:rsidRPr="00DE754B">
        <w:rPr>
          <w:rFonts w:asciiTheme="majorHAnsi" w:hAnsiTheme="majorHAnsi" w:cs="Arial"/>
          <w:sz w:val="22"/>
          <w:szCs w:val="22"/>
        </w:rPr>
        <w:t xml:space="preserve"> realise</w:t>
      </w:r>
      <w:r w:rsidR="00743B4B">
        <w:rPr>
          <w:rFonts w:asciiTheme="majorHAnsi" w:hAnsiTheme="majorHAnsi" w:cs="Arial"/>
          <w:sz w:val="22"/>
          <w:szCs w:val="22"/>
        </w:rPr>
        <w:t>s</w:t>
      </w:r>
      <w:r w:rsidRPr="00DE754B">
        <w:rPr>
          <w:rFonts w:asciiTheme="majorHAnsi" w:hAnsiTheme="majorHAnsi" w:cs="Arial"/>
          <w:sz w:val="22"/>
          <w:szCs w:val="22"/>
        </w:rPr>
        <w:t xml:space="preserve"> that this risk is implicit in trying to generate returns above that earned by cash and accept this by investing in assets other than cash</w:t>
      </w:r>
      <w:r w:rsidR="00914952">
        <w:rPr>
          <w:rFonts w:asciiTheme="majorHAnsi" w:hAnsiTheme="majorHAnsi" w:cs="Arial"/>
          <w:sz w:val="22"/>
          <w:szCs w:val="22"/>
        </w:rPr>
        <w:t xml:space="preserve"> in order to achieve the level of return required within the </w:t>
      </w:r>
      <w:r w:rsidR="00542079">
        <w:rPr>
          <w:rFonts w:asciiTheme="majorHAnsi" w:hAnsiTheme="majorHAnsi" w:cs="Arial"/>
          <w:sz w:val="22"/>
          <w:szCs w:val="22"/>
        </w:rPr>
        <w:t>Scheme</w:t>
      </w:r>
      <w:r w:rsidR="00914952">
        <w:rPr>
          <w:rFonts w:asciiTheme="majorHAnsi" w:hAnsiTheme="majorHAnsi" w:cs="Arial"/>
          <w:sz w:val="22"/>
          <w:szCs w:val="22"/>
        </w:rPr>
        <w:t>’s Actuarial Valuation assumptions.</w:t>
      </w:r>
    </w:p>
    <w:p w14:paraId="4445FD15" w14:textId="77777777" w:rsidR="00E14B43" w:rsidRDefault="00E14B43" w:rsidP="00E14B43">
      <w:pPr>
        <w:pStyle w:val="ListParagraph"/>
        <w:rPr>
          <w:rFonts w:asciiTheme="majorHAnsi" w:hAnsiTheme="majorHAnsi" w:cs="Arial"/>
          <w:sz w:val="22"/>
          <w:szCs w:val="22"/>
        </w:rPr>
      </w:pPr>
    </w:p>
    <w:p w14:paraId="772A164F" w14:textId="15F5FE78" w:rsidR="00E14B43" w:rsidRPr="004B6234" w:rsidRDefault="00E14B43" w:rsidP="00E5798A">
      <w:pPr>
        <w:pStyle w:val="ListBullet"/>
        <w:rPr>
          <w:color w:val="000000" w:themeColor="text1"/>
        </w:rPr>
      </w:pPr>
      <w:r w:rsidRPr="00D014A7">
        <w:rPr>
          <w:rFonts w:asciiTheme="majorHAnsi" w:hAnsiTheme="majorHAnsi" w:cs="Arial"/>
          <w:b/>
          <w:sz w:val="22"/>
          <w:szCs w:val="22"/>
        </w:rPr>
        <w:t xml:space="preserve">Overseas Investment Risk </w:t>
      </w:r>
      <w:r w:rsidRPr="00D014A7">
        <w:rPr>
          <w:rFonts w:asciiTheme="majorHAnsi" w:hAnsiTheme="majorHAnsi" w:cs="Arial"/>
          <w:sz w:val="22"/>
          <w:szCs w:val="22"/>
        </w:rPr>
        <w:t xml:space="preserve">– The </w:t>
      </w:r>
      <w:r w:rsidR="00E5798A" w:rsidRPr="00D014A7">
        <w:rPr>
          <w:rFonts w:asciiTheme="majorHAnsi" w:hAnsiTheme="majorHAnsi" w:cs="Arial"/>
          <w:sz w:val="22"/>
          <w:szCs w:val="22"/>
        </w:rPr>
        <w:t xml:space="preserve">risk that the value of securities may be affected by uncertainties relating to the overseas markets in which they invest. For example, uncertainties such as political developments, market sentiment, economic conditions, changes in government policies, restrictions </w:t>
      </w:r>
      <w:r w:rsidR="00E5798A" w:rsidRPr="00D014A7">
        <w:rPr>
          <w:rFonts w:asciiTheme="majorHAnsi" w:hAnsiTheme="majorHAnsi" w:cs="Arial"/>
          <w:sz w:val="22"/>
          <w:szCs w:val="22"/>
        </w:rPr>
        <w:lastRenderedPageBreak/>
        <w:t xml:space="preserve">on foreign investment and other developments in the laws and regulations of countries in which </w:t>
      </w:r>
      <w:r w:rsidR="00E5798A" w:rsidRPr="004B6234">
        <w:rPr>
          <w:rFonts w:asciiTheme="majorHAnsi" w:hAnsiTheme="majorHAnsi" w:cs="Arial"/>
          <w:color w:val="000000" w:themeColor="text1"/>
          <w:sz w:val="22"/>
          <w:szCs w:val="22"/>
        </w:rPr>
        <w:t>investments are made.</w:t>
      </w:r>
      <w:r w:rsidR="00914952" w:rsidRPr="004B6234">
        <w:rPr>
          <w:rFonts w:asciiTheme="majorHAnsi" w:hAnsiTheme="majorHAnsi" w:cs="Arial"/>
          <w:color w:val="000000" w:themeColor="text1"/>
          <w:sz w:val="22"/>
          <w:szCs w:val="22"/>
        </w:rPr>
        <w:t xml:space="preserve"> The </w:t>
      </w:r>
      <w:r w:rsidR="00542079" w:rsidRPr="004B6234">
        <w:rPr>
          <w:rFonts w:asciiTheme="majorHAnsi" w:hAnsiTheme="majorHAnsi" w:cs="Arial"/>
          <w:color w:val="000000" w:themeColor="text1"/>
          <w:sz w:val="22"/>
          <w:szCs w:val="22"/>
        </w:rPr>
        <w:t>Scheme</w:t>
      </w:r>
      <w:r w:rsidR="00914952" w:rsidRPr="004B6234">
        <w:rPr>
          <w:rFonts w:asciiTheme="majorHAnsi" w:hAnsiTheme="majorHAnsi" w:cs="Arial"/>
          <w:color w:val="000000" w:themeColor="text1"/>
          <w:sz w:val="22"/>
          <w:szCs w:val="22"/>
        </w:rPr>
        <w:t>’s</w:t>
      </w:r>
      <w:r w:rsidR="00743B4B" w:rsidRPr="004B6234">
        <w:rPr>
          <w:rFonts w:asciiTheme="majorHAnsi" w:hAnsiTheme="majorHAnsi" w:cs="Arial"/>
          <w:color w:val="000000" w:themeColor="text1"/>
          <w:sz w:val="22"/>
          <w:szCs w:val="22"/>
        </w:rPr>
        <w:t xml:space="preserve"> global</w:t>
      </w:r>
      <w:r w:rsidR="00914952" w:rsidRPr="004B6234">
        <w:rPr>
          <w:rFonts w:asciiTheme="majorHAnsi" w:hAnsiTheme="majorHAnsi" w:cs="Arial"/>
          <w:color w:val="000000" w:themeColor="text1"/>
          <w:sz w:val="22"/>
          <w:szCs w:val="22"/>
        </w:rPr>
        <w:t xml:space="preserve"> equity </w:t>
      </w:r>
      <w:r w:rsidR="00E90189" w:rsidRPr="004B6234">
        <w:rPr>
          <w:rFonts w:asciiTheme="majorHAnsi" w:hAnsiTheme="majorHAnsi" w:cs="Arial"/>
          <w:color w:val="000000" w:themeColor="text1"/>
          <w:sz w:val="22"/>
          <w:szCs w:val="22"/>
        </w:rPr>
        <w:t xml:space="preserve">and buy &amp; maintain credit </w:t>
      </w:r>
      <w:r w:rsidR="00743B4B" w:rsidRPr="004B6234">
        <w:rPr>
          <w:rFonts w:asciiTheme="majorHAnsi" w:hAnsiTheme="majorHAnsi" w:cs="Arial"/>
          <w:color w:val="000000" w:themeColor="text1"/>
          <w:sz w:val="22"/>
          <w:szCs w:val="22"/>
        </w:rPr>
        <w:t xml:space="preserve">mandates </w:t>
      </w:r>
      <w:r w:rsidR="00E90189" w:rsidRPr="004B6234">
        <w:rPr>
          <w:rFonts w:asciiTheme="majorHAnsi" w:hAnsiTheme="majorHAnsi" w:cs="Arial"/>
          <w:color w:val="000000" w:themeColor="text1"/>
          <w:sz w:val="22"/>
          <w:szCs w:val="22"/>
        </w:rPr>
        <w:t>are both</w:t>
      </w:r>
      <w:r w:rsidR="00914952" w:rsidRPr="004B6234">
        <w:rPr>
          <w:rFonts w:asciiTheme="majorHAnsi" w:hAnsiTheme="majorHAnsi" w:cs="Arial"/>
          <w:color w:val="000000" w:themeColor="text1"/>
          <w:sz w:val="22"/>
          <w:szCs w:val="22"/>
        </w:rPr>
        <w:t xml:space="preserve"> diversified by region and sector to mitigate this risk.</w:t>
      </w:r>
    </w:p>
    <w:p w14:paraId="3A64E4EE" w14:textId="77777777" w:rsidR="00E53A2A" w:rsidRDefault="00E53A2A" w:rsidP="00E53A2A">
      <w:pPr>
        <w:pStyle w:val="ListParagraph"/>
        <w:rPr>
          <w:highlight w:val="yellow"/>
        </w:rPr>
      </w:pPr>
    </w:p>
    <w:p w14:paraId="591BC97D" w14:textId="2C538ACE" w:rsidR="00B209A5" w:rsidRPr="00D014A7" w:rsidRDefault="00550A87" w:rsidP="00B209A5">
      <w:pPr>
        <w:pStyle w:val="ListBullet"/>
        <w:rPr>
          <w:rFonts w:asciiTheme="majorHAnsi" w:hAnsiTheme="majorHAnsi" w:cs="Arial"/>
          <w:sz w:val="22"/>
          <w:szCs w:val="22"/>
        </w:rPr>
      </w:pPr>
      <w:r w:rsidRPr="00D014A7">
        <w:rPr>
          <w:rFonts w:asciiTheme="majorHAnsi" w:hAnsiTheme="majorHAnsi" w:cs="Arial"/>
          <w:b/>
          <w:sz w:val="22"/>
          <w:szCs w:val="22"/>
        </w:rPr>
        <w:t>Counterparty Risk</w:t>
      </w:r>
      <w:r w:rsidRPr="00D014A7">
        <w:rPr>
          <w:rFonts w:asciiTheme="majorHAnsi" w:hAnsiTheme="majorHAnsi" w:cs="Arial"/>
          <w:sz w:val="22"/>
          <w:szCs w:val="22"/>
        </w:rPr>
        <w:t xml:space="preserve"> </w:t>
      </w:r>
      <w:r w:rsidR="00B209A5" w:rsidRPr="00D014A7">
        <w:rPr>
          <w:rFonts w:asciiTheme="majorHAnsi" w:hAnsiTheme="majorHAnsi" w:cs="Arial"/>
          <w:sz w:val="22"/>
          <w:szCs w:val="22"/>
        </w:rPr>
        <w:t>–</w:t>
      </w:r>
      <w:r w:rsidRPr="00D014A7">
        <w:rPr>
          <w:rFonts w:asciiTheme="majorHAnsi" w:hAnsiTheme="majorHAnsi" w:cs="Arial"/>
          <w:sz w:val="22"/>
          <w:szCs w:val="22"/>
        </w:rPr>
        <w:t xml:space="preserve"> </w:t>
      </w:r>
      <w:r w:rsidR="00B209A5" w:rsidRPr="00D014A7">
        <w:rPr>
          <w:rFonts w:asciiTheme="majorHAnsi" w:hAnsiTheme="majorHAnsi" w:cs="Arial"/>
          <w:sz w:val="22"/>
          <w:szCs w:val="22"/>
        </w:rPr>
        <w:t xml:space="preserve">The risk that a counterparty is unable to honour its obligation under a contract agreement causing the </w:t>
      </w:r>
      <w:r w:rsidR="00542079">
        <w:rPr>
          <w:rFonts w:asciiTheme="majorHAnsi" w:hAnsiTheme="majorHAnsi" w:cs="Arial"/>
          <w:sz w:val="22"/>
          <w:szCs w:val="22"/>
        </w:rPr>
        <w:t>Scheme</w:t>
      </w:r>
      <w:r w:rsidR="00B209A5" w:rsidRPr="00D014A7">
        <w:rPr>
          <w:rFonts w:asciiTheme="majorHAnsi" w:hAnsiTheme="majorHAnsi" w:cs="Arial"/>
          <w:sz w:val="22"/>
          <w:szCs w:val="22"/>
        </w:rPr>
        <w:t xml:space="preserve"> to suffer a loss.  Examples of which include </w:t>
      </w:r>
      <w:r w:rsidR="004259C6">
        <w:rPr>
          <w:rFonts w:asciiTheme="majorHAnsi" w:hAnsiTheme="majorHAnsi" w:cs="Arial"/>
          <w:sz w:val="22"/>
          <w:szCs w:val="22"/>
        </w:rPr>
        <w:t>derivative contracts</w:t>
      </w:r>
      <w:r w:rsidR="00B209A5" w:rsidRPr="00D014A7">
        <w:rPr>
          <w:rFonts w:asciiTheme="majorHAnsi" w:hAnsiTheme="majorHAnsi" w:cs="Arial"/>
          <w:sz w:val="22"/>
          <w:szCs w:val="22"/>
        </w:rPr>
        <w:t xml:space="preserve"> within the </w:t>
      </w:r>
      <w:r w:rsidR="00E2203F">
        <w:rPr>
          <w:rFonts w:asciiTheme="majorHAnsi" w:hAnsiTheme="majorHAnsi" w:cs="Arial"/>
          <w:sz w:val="22"/>
          <w:szCs w:val="22"/>
        </w:rPr>
        <w:t>Scheme</w:t>
      </w:r>
      <w:r w:rsidR="00B209A5" w:rsidRPr="00D014A7">
        <w:rPr>
          <w:rFonts w:asciiTheme="majorHAnsi" w:hAnsiTheme="majorHAnsi" w:cs="Arial"/>
          <w:sz w:val="22"/>
          <w:szCs w:val="22"/>
        </w:rPr>
        <w:t xml:space="preserve">’s </w:t>
      </w:r>
      <w:r w:rsidR="00552FFE">
        <w:rPr>
          <w:rFonts w:asciiTheme="majorHAnsi" w:hAnsiTheme="majorHAnsi" w:cs="Arial"/>
          <w:sz w:val="22"/>
          <w:szCs w:val="22"/>
        </w:rPr>
        <w:t>l</w:t>
      </w:r>
      <w:r w:rsidR="00B209A5" w:rsidRPr="00D014A7">
        <w:rPr>
          <w:rFonts w:asciiTheme="majorHAnsi" w:hAnsiTheme="majorHAnsi" w:cs="Arial"/>
          <w:sz w:val="22"/>
          <w:szCs w:val="22"/>
        </w:rPr>
        <w:t>iabil</w:t>
      </w:r>
      <w:r w:rsidR="000566E6">
        <w:rPr>
          <w:rFonts w:asciiTheme="majorHAnsi" w:hAnsiTheme="majorHAnsi" w:cs="Arial"/>
          <w:sz w:val="22"/>
          <w:szCs w:val="22"/>
        </w:rPr>
        <w:t xml:space="preserve">ity </w:t>
      </w:r>
      <w:r w:rsidR="00552FFE">
        <w:rPr>
          <w:rFonts w:asciiTheme="majorHAnsi" w:hAnsiTheme="majorHAnsi" w:cs="Arial"/>
          <w:sz w:val="22"/>
          <w:szCs w:val="22"/>
        </w:rPr>
        <w:t>d</w:t>
      </w:r>
      <w:r w:rsidR="000566E6">
        <w:rPr>
          <w:rFonts w:asciiTheme="majorHAnsi" w:hAnsiTheme="majorHAnsi" w:cs="Arial"/>
          <w:sz w:val="22"/>
          <w:szCs w:val="22"/>
        </w:rPr>
        <w:t xml:space="preserve">riven </w:t>
      </w:r>
      <w:r w:rsidR="00552FFE">
        <w:rPr>
          <w:rFonts w:asciiTheme="majorHAnsi" w:hAnsiTheme="majorHAnsi" w:cs="Arial"/>
          <w:sz w:val="22"/>
          <w:szCs w:val="22"/>
        </w:rPr>
        <w:t>i</w:t>
      </w:r>
      <w:r w:rsidR="000566E6">
        <w:rPr>
          <w:rFonts w:asciiTheme="majorHAnsi" w:hAnsiTheme="majorHAnsi" w:cs="Arial"/>
          <w:sz w:val="22"/>
          <w:szCs w:val="22"/>
        </w:rPr>
        <w:t>nvestment funds</w:t>
      </w:r>
      <w:r w:rsidR="00552FFE">
        <w:rPr>
          <w:rFonts w:asciiTheme="majorHAnsi" w:hAnsiTheme="majorHAnsi" w:cs="Arial"/>
          <w:sz w:val="22"/>
          <w:szCs w:val="22"/>
        </w:rPr>
        <w:t xml:space="preserve"> and the corporate bonds held within the buy and maintain credit portfolio</w:t>
      </w:r>
      <w:r w:rsidR="00B209A5" w:rsidRPr="00D014A7">
        <w:rPr>
          <w:rFonts w:asciiTheme="majorHAnsi" w:hAnsiTheme="majorHAnsi" w:cs="Arial"/>
          <w:sz w:val="22"/>
          <w:szCs w:val="22"/>
        </w:rPr>
        <w:t xml:space="preserve">. </w:t>
      </w:r>
    </w:p>
    <w:p w14:paraId="48C479DF" w14:textId="77777777" w:rsidR="00B209A5" w:rsidRPr="00D014A7" w:rsidRDefault="00B209A5" w:rsidP="00B209A5">
      <w:pPr>
        <w:pStyle w:val="ListParagraph"/>
        <w:rPr>
          <w:rFonts w:asciiTheme="majorHAnsi" w:hAnsiTheme="majorHAnsi" w:cs="Arial"/>
          <w:sz w:val="22"/>
          <w:szCs w:val="22"/>
        </w:rPr>
      </w:pPr>
    </w:p>
    <w:p w14:paraId="65806A4B" w14:textId="1AC31A50" w:rsidR="00B209A5" w:rsidRDefault="00552FFE" w:rsidP="00552FFE">
      <w:pPr>
        <w:pStyle w:val="ListBullet"/>
        <w:numPr>
          <w:ilvl w:val="0"/>
          <w:numId w:val="0"/>
        </w:numPr>
        <w:ind w:left="360"/>
        <w:rPr>
          <w:rFonts w:asciiTheme="majorHAnsi" w:hAnsiTheme="majorHAnsi" w:cs="Arial"/>
          <w:sz w:val="22"/>
          <w:szCs w:val="22"/>
          <w:highlight w:val="yellow"/>
        </w:rPr>
      </w:pPr>
      <w:r w:rsidRPr="00D014A7">
        <w:rPr>
          <w:rFonts w:asciiTheme="majorHAnsi" w:hAnsiTheme="majorHAnsi" w:cs="Arial"/>
          <w:sz w:val="22"/>
          <w:szCs w:val="22"/>
        </w:rPr>
        <w:t>The fund manager diversifying exposure across a number of counterparties and regular monitoring of counterparty creditworthiness manages this.</w:t>
      </w:r>
      <w:r>
        <w:rPr>
          <w:rFonts w:asciiTheme="majorHAnsi" w:hAnsiTheme="majorHAnsi" w:cs="Arial"/>
          <w:sz w:val="22"/>
          <w:szCs w:val="22"/>
        </w:rPr>
        <w:t xml:space="preserve"> In addition, for derivative contracts the manager will </w:t>
      </w:r>
      <w:r w:rsidR="00B209A5" w:rsidRPr="00D014A7">
        <w:rPr>
          <w:rFonts w:asciiTheme="majorHAnsi" w:hAnsiTheme="majorHAnsi" w:cs="Arial"/>
          <w:sz w:val="22"/>
          <w:szCs w:val="22"/>
        </w:rPr>
        <w:t>us</w:t>
      </w:r>
      <w:r>
        <w:rPr>
          <w:rFonts w:asciiTheme="majorHAnsi" w:hAnsiTheme="majorHAnsi" w:cs="Arial"/>
          <w:sz w:val="22"/>
          <w:szCs w:val="22"/>
        </w:rPr>
        <w:t>e</w:t>
      </w:r>
      <w:r w:rsidR="00B209A5" w:rsidRPr="00D014A7">
        <w:rPr>
          <w:rFonts w:asciiTheme="majorHAnsi" w:hAnsiTheme="majorHAnsi" w:cs="Arial"/>
          <w:sz w:val="22"/>
          <w:szCs w:val="22"/>
        </w:rPr>
        <w:t xml:space="preserve"> central clearing</w:t>
      </w:r>
      <w:r>
        <w:rPr>
          <w:rFonts w:asciiTheme="majorHAnsi" w:hAnsiTheme="majorHAnsi" w:cs="Arial"/>
          <w:sz w:val="22"/>
          <w:szCs w:val="22"/>
        </w:rPr>
        <w:t xml:space="preserve"> and will</w:t>
      </w:r>
      <w:r w:rsidR="00B209A5" w:rsidRPr="00D014A7">
        <w:rPr>
          <w:rFonts w:asciiTheme="majorHAnsi" w:hAnsiTheme="majorHAnsi" w:cs="Arial"/>
          <w:sz w:val="22"/>
          <w:szCs w:val="22"/>
        </w:rPr>
        <w:t xml:space="preserve"> collateralis</w:t>
      </w:r>
      <w:r>
        <w:rPr>
          <w:rFonts w:asciiTheme="majorHAnsi" w:hAnsiTheme="majorHAnsi" w:cs="Arial"/>
          <w:sz w:val="22"/>
          <w:szCs w:val="22"/>
        </w:rPr>
        <w:t>e</w:t>
      </w:r>
      <w:r w:rsidR="00B209A5" w:rsidRPr="00D014A7">
        <w:rPr>
          <w:rFonts w:asciiTheme="majorHAnsi" w:hAnsiTheme="majorHAnsi" w:cs="Arial"/>
          <w:sz w:val="22"/>
          <w:szCs w:val="22"/>
        </w:rPr>
        <w:t xml:space="preserve"> with high-quality collateral (cash or gilts)</w:t>
      </w:r>
      <w:r>
        <w:rPr>
          <w:rFonts w:asciiTheme="majorHAnsi" w:hAnsiTheme="majorHAnsi" w:cs="Arial"/>
          <w:sz w:val="22"/>
          <w:szCs w:val="22"/>
        </w:rPr>
        <w:t>.</w:t>
      </w:r>
      <w:r w:rsidR="00B209A5" w:rsidRPr="00D014A7">
        <w:rPr>
          <w:rFonts w:asciiTheme="majorHAnsi" w:hAnsiTheme="majorHAnsi" w:cs="Arial"/>
          <w:sz w:val="22"/>
          <w:szCs w:val="22"/>
        </w:rPr>
        <w:t xml:space="preserve"> </w:t>
      </w:r>
    </w:p>
    <w:p w14:paraId="6F7A98D2" w14:textId="77777777" w:rsidR="00B209A5" w:rsidRDefault="00B209A5" w:rsidP="00B209A5">
      <w:pPr>
        <w:pStyle w:val="ListBullet"/>
        <w:numPr>
          <w:ilvl w:val="0"/>
          <w:numId w:val="0"/>
        </w:numPr>
        <w:ind w:left="360"/>
        <w:rPr>
          <w:rFonts w:asciiTheme="majorHAnsi" w:hAnsiTheme="majorHAnsi" w:cs="Arial"/>
          <w:sz w:val="22"/>
          <w:szCs w:val="22"/>
          <w:highlight w:val="yellow"/>
        </w:rPr>
      </w:pPr>
    </w:p>
    <w:p w14:paraId="7B9BB09C" w14:textId="75B76FF4" w:rsidR="00B673BA" w:rsidRPr="00D014A7" w:rsidRDefault="00B673BA" w:rsidP="00F308C8">
      <w:pPr>
        <w:pStyle w:val="ListBullet"/>
        <w:rPr>
          <w:rFonts w:asciiTheme="majorHAnsi" w:hAnsiTheme="majorHAnsi" w:cs="Arial"/>
          <w:b/>
          <w:sz w:val="22"/>
          <w:szCs w:val="22"/>
        </w:rPr>
      </w:pPr>
      <w:r w:rsidRPr="00D014A7">
        <w:rPr>
          <w:rFonts w:asciiTheme="majorHAnsi" w:hAnsiTheme="majorHAnsi" w:cs="Arial"/>
          <w:b/>
          <w:sz w:val="22"/>
          <w:szCs w:val="22"/>
        </w:rPr>
        <w:t xml:space="preserve">Leverage Risk </w:t>
      </w:r>
      <w:r w:rsidRPr="00D014A7">
        <w:rPr>
          <w:rFonts w:asciiTheme="majorHAnsi" w:hAnsiTheme="majorHAnsi" w:cs="Arial"/>
          <w:sz w:val="22"/>
          <w:szCs w:val="22"/>
        </w:rPr>
        <w:t xml:space="preserve">– </w:t>
      </w:r>
      <w:r w:rsidR="00F308C8" w:rsidRPr="00D014A7">
        <w:rPr>
          <w:rFonts w:asciiTheme="majorHAnsi" w:hAnsiTheme="majorHAnsi" w:cs="Arial"/>
          <w:sz w:val="22"/>
          <w:szCs w:val="22"/>
        </w:rPr>
        <w:t>The</w:t>
      </w:r>
      <w:r w:rsidRPr="00D014A7">
        <w:rPr>
          <w:rFonts w:asciiTheme="majorHAnsi" w:hAnsiTheme="majorHAnsi" w:cs="Arial"/>
          <w:sz w:val="22"/>
          <w:szCs w:val="22"/>
        </w:rPr>
        <w:t xml:space="preserve"> </w:t>
      </w:r>
      <w:r w:rsidR="00542079">
        <w:rPr>
          <w:rFonts w:asciiTheme="majorHAnsi" w:hAnsiTheme="majorHAnsi" w:cs="Arial"/>
          <w:sz w:val="22"/>
          <w:szCs w:val="22"/>
        </w:rPr>
        <w:t>Scheme</w:t>
      </w:r>
      <w:r w:rsidRPr="00D014A7">
        <w:rPr>
          <w:rFonts w:asciiTheme="majorHAnsi" w:hAnsiTheme="majorHAnsi" w:cs="Arial"/>
          <w:sz w:val="22"/>
          <w:szCs w:val="22"/>
        </w:rPr>
        <w:t xml:space="preserve">’s liability driven </w:t>
      </w:r>
      <w:r w:rsidR="00F308C8" w:rsidRPr="00D014A7">
        <w:rPr>
          <w:rFonts w:asciiTheme="majorHAnsi" w:hAnsiTheme="majorHAnsi" w:cs="Arial"/>
          <w:sz w:val="22"/>
          <w:szCs w:val="22"/>
        </w:rPr>
        <w:t>investments</w:t>
      </w:r>
      <w:r w:rsidR="00914952" w:rsidRPr="00D014A7">
        <w:rPr>
          <w:rFonts w:asciiTheme="majorHAnsi" w:hAnsiTheme="majorHAnsi" w:cs="Arial"/>
          <w:sz w:val="22"/>
          <w:szCs w:val="22"/>
        </w:rPr>
        <w:t xml:space="preserve"> are leveraged which will multiply the exposure of </w:t>
      </w:r>
      <w:r w:rsidR="003B39F4">
        <w:rPr>
          <w:rFonts w:asciiTheme="majorHAnsi" w:hAnsiTheme="majorHAnsi" w:cs="Arial"/>
          <w:sz w:val="22"/>
          <w:szCs w:val="22"/>
        </w:rPr>
        <w:t>these funds</w:t>
      </w:r>
      <w:r w:rsidR="00914952" w:rsidRPr="00D014A7">
        <w:rPr>
          <w:rFonts w:asciiTheme="majorHAnsi" w:hAnsiTheme="majorHAnsi" w:cs="Arial"/>
          <w:sz w:val="22"/>
          <w:szCs w:val="22"/>
        </w:rPr>
        <w:t xml:space="preserve"> to certain assets, therefore amplifying the consequences of a move in </w:t>
      </w:r>
      <w:r w:rsidR="003B39F4" w:rsidRPr="00D014A7">
        <w:rPr>
          <w:rFonts w:asciiTheme="majorHAnsi" w:hAnsiTheme="majorHAnsi" w:cs="Arial"/>
          <w:sz w:val="22"/>
          <w:szCs w:val="22"/>
        </w:rPr>
        <w:t>the value of these assets. These funds</w:t>
      </w:r>
      <w:r w:rsidR="00F308C8" w:rsidRPr="00D014A7">
        <w:rPr>
          <w:rFonts w:asciiTheme="majorHAnsi" w:hAnsiTheme="majorHAnsi" w:cs="Arial"/>
          <w:sz w:val="22"/>
          <w:szCs w:val="22"/>
        </w:rPr>
        <w:t xml:space="preserve"> </w:t>
      </w:r>
      <w:r w:rsidR="00914952" w:rsidRPr="00D014A7">
        <w:rPr>
          <w:rFonts w:asciiTheme="majorHAnsi" w:hAnsiTheme="majorHAnsi" w:cs="Arial"/>
          <w:sz w:val="22"/>
          <w:szCs w:val="22"/>
        </w:rPr>
        <w:t>may</w:t>
      </w:r>
      <w:r w:rsidR="00F308C8" w:rsidRPr="00D014A7">
        <w:rPr>
          <w:rFonts w:asciiTheme="majorHAnsi" w:hAnsiTheme="majorHAnsi" w:cs="Arial"/>
          <w:sz w:val="22"/>
          <w:szCs w:val="22"/>
        </w:rPr>
        <w:t xml:space="preserve"> incur transaction costs associated with re-balancing </w:t>
      </w:r>
      <w:r w:rsidR="003B39F4">
        <w:rPr>
          <w:rFonts w:asciiTheme="majorHAnsi" w:hAnsiTheme="majorHAnsi" w:cs="Arial"/>
          <w:sz w:val="22"/>
          <w:szCs w:val="22"/>
        </w:rPr>
        <w:t xml:space="preserve">the level of collateral held within the funds. There is a risk that the </w:t>
      </w:r>
      <w:r w:rsidR="00542079">
        <w:rPr>
          <w:rFonts w:asciiTheme="majorHAnsi" w:hAnsiTheme="majorHAnsi" w:cs="Arial"/>
          <w:sz w:val="22"/>
          <w:szCs w:val="22"/>
        </w:rPr>
        <w:t>Scheme</w:t>
      </w:r>
      <w:r w:rsidR="003B39F4">
        <w:rPr>
          <w:rFonts w:asciiTheme="majorHAnsi" w:hAnsiTheme="majorHAnsi" w:cs="Arial"/>
          <w:sz w:val="22"/>
          <w:szCs w:val="22"/>
        </w:rPr>
        <w:t xml:space="preserve"> will be required to pay additional collateral into these funds in order to maintain the level of interest rate and inflation hedging.</w:t>
      </w:r>
    </w:p>
    <w:p w14:paraId="28F6EE75" w14:textId="77777777" w:rsidR="003B39F4" w:rsidRPr="00F308C8" w:rsidRDefault="003B39F4" w:rsidP="00F308C8">
      <w:pPr>
        <w:pStyle w:val="ListParagraph"/>
        <w:rPr>
          <w:rFonts w:asciiTheme="majorHAnsi" w:hAnsiTheme="majorHAnsi" w:cs="Arial"/>
          <w:b/>
          <w:sz w:val="22"/>
          <w:szCs w:val="22"/>
          <w:highlight w:val="yellow"/>
        </w:rPr>
      </w:pPr>
    </w:p>
    <w:p w14:paraId="1FF7961D" w14:textId="7597A2E0" w:rsidR="00E65B9C" w:rsidRDefault="003B39F4" w:rsidP="005978F4">
      <w:pPr>
        <w:pStyle w:val="ListBullet"/>
        <w:numPr>
          <w:ilvl w:val="0"/>
          <w:numId w:val="0"/>
        </w:numPr>
        <w:ind w:left="360"/>
      </w:pPr>
      <w:r w:rsidRPr="00913D82">
        <w:rPr>
          <w:rFonts w:asciiTheme="majorHAnsi" w:hAnsiTheme="majorHAnsi" w:cs="Arial"/>
          <w:sz w:val="22"/>
          <w:szCs w:val="22"/>
        </w:rPr>
        <w:t xml:space="preserve">Should </w:t>
      </w:r>
      <w:r w:rsidR="00D60168" w:rsidRPr="00913D82">
        <w:rPr>
          <w:rFonts w:asciiTheme="majorHAnsi" w:hAnsiTheme="majorHAnsi" w:cs="Arial"/>
          <w:sz w:val="22"/>
          <w:szCs w:val="22"/>
        </w:rPr>
        <w:t xml:space="preserve">such </w:t>
      </w:r>
      <w:r w:rsidRPr="00913D82">
        <w:rPr>
          <w:rFonts w:asciiTheme="majorHAnsi" w:hAnsiTheme="majorHAnsi" w:cs="Arial"/>
          <w:sz w:val="22"/>
          <w:szCs w:val="22"/>
        </w:rPr>
        <w:t>an event arise then t</w:t>
      </w:r>
      <w:r w:rsidR="00914952" w:rsidRPr="00913D82">
        <w:rPr>
          <w:rFonts w:asciiTheme="majorHAnsi" w:hAnsiTheme="majorHAnsi" w:cs="Arial"/>
          <w:sz w:val="22"/>
          <w:szCs w:val="22"/>
        </w:rPr>
        <w:t xml:space="preserve">he </w:t>
      </w:r>
      <w:r w:rsidR="00D158B5" w:rsidRPr="00913D82">
        <w:rPr>
          <w:rFonts w:asciiTheme="majorHAnsi" w:hAnsiTheme="majorHAnsi" w:cs="Arial"/>
          <w:sz w:val="22"/>
          <w:szCs w:val="22"/>
        </w:rPr>
        <w:t>Trustee</w:t>
      </w:r>
      <w:r w:rsidR="00914952" w:rsidRPr="00913D82">
        <w:rPr>
          <w:rFonts w:asciiTheme="majorHAnsi" w:hAnsiTheme="majorHAnsi" w:cs="Arial"/>
          <w:sz w:val="22"/>
          <w:szCs w:val="22"/>
        </w:rPr>
        <w:t xml:space="preserve"> </w:t>
      </w:r>
      <w:r w:rsidR="00914952" w:rsidRPr="004B6234">
        <w:rPr>
          <w:rFonts w:asciiTheme="majorHAnsi" w:hAnsiTheme="majorHAnsi" w:cs="Arial"/>
          <w:sz w:val="22"/>
          <w:szCs w:val="22"/>
        </w:rPr>
        <w:t>ha</w:t>
      </w:r>
      <w:r w:rsidR="00913D82" w:rsidRPr="004B6234">
        <w:rPr>
          <w:rFonts w:asciiTheme="majorHAnsi" w:hAnsiTheme="majorHAnsi" w:cs="Arial"/>
          <w:sz w:val="22"/>
          <w:szCs w:val="22"/>
        </w:rPr>
        <w:t>s</w:t>
      </w:r>
      <w:r w:rsidRPr="004B6234">
        <w:rPr>
          <w:rFonts w:asciiTheme="majorHAnsi" w:hAnsiTheme="majorHAnsi" w:cs="Arial"/>
          <w:sz w:val="22"/>
          <w:szCs w:val="22"/>
        </w:rPr>
        <w:t xml:space="preserve"> instructed Legal &amp; General</w:t>
      </w:r>
      <w:r w:rsidR="00914952" w:rsidRPr="004B6234">
        <w:rPr>
          <w:rFonts w:asciiTheme="majorHAnsi" w:hAnsiTheme="majorHAnsi" w:cs="Arial"/>
          <w:sz w:val="22"/>
          <w:szCs w:val="22"/>
        </w:rPr>
        <w:t xml:space="preserve"> to take these</w:t>
      </w:r>
      <w:r w:rsidRPr="004B6234">
        <w:rPr>
          <w:rFonts w:asciiTheme="majorHAnsi" w:hAnsiTheme="majorHAnsi" w:cs="Arial"/>
          <w:sz w:val="22"/>
          <w:szCs w:val="22"/>
        </w:rPr>
        <w:t xml:space="preserve"> additional assets from </w:t>
      </w:r>
      <w:r w:rsidR="00913D82" w:rsidRPr="004B6234">
        <w:rPr>
          <w:rFonts w:asciiTheme="majorHAnsi" w:hAnsiTheme="majorHAnsi" w:cs="Arial"/>
          <w:sz w:val="22"/>
          <w:szCs w:val="22"/>
        </w:rPr>
        <w:t>the LGIM Cash Fund or</w:t>
      </w:r>
      <w:r w:rsidRPr="004B6234">
        <w:rPr>
          <w:rFonts w:asciiTheme="majorHAnsi" w:hAnsiTheme="majorHAnsi" w:cs="Arial"/>
          <w:sz w:val="22"/>
          <w:szCs w:val="22"/>
        </w:rPr>
        <w:t xml:space="preserve"> if insufficient the LGIM </w:t>
      </w:r>
      <w:r w:rsidR="00AE3231">
        <w:rPr>
          <w:rFonts w:asciiTheme="majorHAnsi" w:hAnsiTheme="majorHAnsi" w:cs="Arial"/>
          <w:sz w:val="22"/>
          <w:szCs w:val="22"/>
        </w:rPr>
        <w:t xml:space="preserve">Future World Global Equity Index </w:t>
      </w:r>
      <w:r w:rsidR="00913D82" w:rsidRPr="004B6234">
        <w:rPr>
          <w:rFonts w:asciiTheme="majorHAnsi" w:hAnsiTheme="majorHAnsi" w:cs="Arial"/>
          <w:sz w:val="22"/>
          <w:szCs w:val="22"/>
        </w:rPr>
        <w:t>Fund (</w:t>
      </w:r>
      <w:r w:rsidRPr="004B6234">
        <w:rPr>
          <w:rFonts w:asciiTheme="majorHAnsi" w:hAnsiTheme="majorHAnsi" w:cs="Arial"/>
          <w:sz w:val="22"/>
          <w:szCs w:val="22"/>
        </w:rPr>
        <w:t>GBP Hedged</w:t>
      </w:r>
      <w:r w:rsidR="00913D82" w:rsidRPr="004B6234">
        <w:rPr>
          <w:rFonts w:asciiTheme="majorHAnsi" w:hAnsiTheme="majorHAnsi" w:cs="Arial"/>
          <w:sz w:val="22"/>
          <w:szCs w:val="22"/>
        </w:rPr>
        <w:t>)</w:t>
      </w:r>
      <w:r w:rsidR="00914952" w:rsidRPr="004B6234">
        <w:rPr>
          <w:rFonts w:asciiTheme="majorHAnsi" w:hAnsiTheme="majorHAnsi" w:cs="Arial"/>
          <w:sz w:val="22"/>
          <w:szCs w:val="22"/>
        </w:rPr>
        <w:t>. Should th</w:t>
      </w:r>
      <w:r w:rsidRPr="004B6234">
        <w:rPr>
          <w:rFonts w:asciiTheme="majorHAnsi" w:hAnsiTheme="majorHAnsi" w:cs="Arial"/>
          <w:sz w:val="22"/>
          <w:szCs w:val="22"/>
        </w:rPr>
        <w:t xml:space="preserve">is still </w:t>
      </w:r>
      <w:r w:rsidR="00914952" w:rsidRPr="004B6234">
        <w:rPr>
          <w:rFonts w:asciiTheme="majorHAnsi" w:hAnsiTheme="majorHAnsi" w:cs="Arial"/>
          <w:sz w:val="22"/>
          <w:szCs w:val="22"/>
        </w:rPr>
        <w:t xml:space="preserve">be insufficient to meet the required top up amount, the </w:t>
      </w:r>
      <w:r w:rsidR="00913D82" w:rsidRPr="004B6234">
        <w:rPr>
          <w:rFonts w:asciiTheme="majorHAnsi" w:hAnsiTheme="majorHAnsi" w:cs="Arial"/>
          <w:sz w:val="22"/>
          <w:szCs w:val="22"/>
        </w:rPr>
        <w:t xml:space="preserve">Scheme’s </w:t>
      </w:r>
      <w:r w:rsidRPr="004B6234">
        <w:rPr>
          <w:rFonts w:asciiTheme="majorHAnsi" w:hAnsiTheme="majorHAnsi" w:cs="Arial"/>
          <w:sz w:val="22"/>
          <w:szCs w:val="22"/>
        </w:rPr>
        <w:t>level of hedging will be reduced.</w:t>
      </w:r>
    </w:p>
    <w:p w14:paraId="44EFE959" w14:textId="77777777" w:rsidR="00E65B9C" w:rsidRDefault="00E65B9C">
      <w:pPr>
        <w:rPr>
          <w:rFonts w:asciiTheme="majorHAnsi" w:hAnsiTheme="majorHAnsi" w:cs="Arial"/>
          <w:sz w:val="22"/>
          <w:szCs w:val="22"/>
        </w:rPr>
      </w:pPr>
    </w:p>
    <w:p w14:paraId="1B25BC43" w14:textId="077F6C97" w:rsidR="00DE754B" w:rsidRPr="00DE754B" w:rsidRDefault="00A66F51" w:rsidP="00D014A7">
      <w:pPr>
        <w:pStyle w:val="Heading1"/>
        <w:numPr>
          <w:ilvl w:val="0"/>
          <w:numId w:val="15"/>
        </w:numPr>
        <w:rPr>
          <w:b/>
          <w:color w:val="62B5E5" w:themeColor="accent3"/>
          <w:sz w:val="24"/>
          <w:szCs w:val="24"/>
          <w:lang w:val="en-US"/>
        </w:rPr>
      </w:pPr>
      <w:bookmarkStart w:id="74" w:name="_Toc43377757"/>
      <w:bookmarkStart w:id="75" w:name="_Toc43378553"/>
      <w:bookmarkStart w:id="76" w:name="_Toc43378617"/>
      <w:bookmarkStart w:id="77" w:name="_Toc43377758"/>
      <w:bookmarkStart w:id="78" w:name="_Toc43378554"/>
      <w:bookmarkStart w:id="79" w:name="_Toc43378618"/>
      <w:bookmarkStart w:id="80" w:name="_Toc43377759"/>
      <w:bookmarkStart w:id="81" w:name="_Toc43378555"/>
      <w:bookmarkStart w:id="82" w:name="_Toc43378619"/>
      <w:bookmarkStart w:id="83" w:name="_Toc43377760"/>
      <w:bookmarkStart w:id="84" w:name="_Toc43378556"/>
      <w:bookmarkStart w:id="85" w:name="_Toc43378620"/>
      <w:bookmarkStart w:id="86" w:name="_Toc29549372"/>
      <w:bookmarkStart w:id="87" w:name="_Toc29549461"/>
      <w:bookmarkStart w:id="88" w:name="_Toc29549373"/>
      <w:bookmarkStart w:id="89" w:name="_Toc29549462"/>
      <w:bookmarkStart w:id="90" w:name="_Toc29549388"/>
      <w:bookmarkStart w:id="91" w:name="_Toc29549477"/>
      <w:bookmarkStart w:id="92" w:name="_Toc29549389"/>
      <w:bookmarkStart w:id="93" w:name="_Toc29549478"/>
      <w:bookmarkStart w:id="94" w:name="_Toc43377761"/>
      <w:bookmarkStart w:id="95" w:name="_Toc43378557"/>
      <w:bookmarkStart w:id="96" w:name="_Toc43378621"/>
      <w:bookmarkStart w:id="97" w:name="_Toc43377762"/>
      <w:bookmarkStart w:id="98" w:name="_Toc43378558"/>
      <w:bookmarkStart w:id="99" w:name="_Toc43378622"/>
      <w:bookmarkStart w:id="100" w:name="_Toc43377763"/>
      <w:bookmarkStart w:id="101" w:name="_Toc43378559"/>
      <w:bookmarkStart w:id="102" w:name="_Toc43378623"/>
      <w:bookmarkStart w:id="103" w:name="_Toc29549391"/>
      <w:bookmarkStart w:id="104" w:name="_Toc29549480"/>
      <w:bookmarkStart w:id="105" w:name="_Toc29549392"/>
      <w:bookmarkStart w:id="106" w:name="_Toc29549481"/>
      <w:bookmarkStart w:id="107" w:name="_Toc29549393"/>
      <w:bookmarkStart w:id="108" w:name="_Toc29549482"/>
      <w:bookmarkStart w:id="109" w:name="_Toc29549394"/>
      <w:bookmarkStart w:id="110" w:name="_Toc29549483"/>
      <w:bookmarkStart w:id="111" w:name="_Toc29549395"/>
      <w:bookmarkStart w:id="112" w:name="_Toc29549484"/>
      <w:bookmarkStart w:id="113" w:name="_Toc29549396"/>
      <w:bookmarkStart w:id="114" w:name="_Toc29549485"/>
      <w:bookmarkStart w:id="115" w:name="_Toc29549397"/>
      <w:bookmarkStart w:id="116" w:name="_Toc29549486"/>
      <w:bookmarkStart w:id="117" w:name="_Toc29549398"/>
      <w:bookmarkStart w:id="118" w:name="_Toc29549487"/>
      <w:bookmarkStart w:id="119" w:name="_Toc9366490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b/>
          <w:color w:val="62B5E5" w:themeColor="accent3"/>
          <w:sz w:val="24"/>
          <w:szCs w:val="24"/>
          <w:lang w:val="en-US"/>
        </w:rPr>
        <w:t>Policy on ESG</w:t>
      </w:r>
      <w:r w:rsidR="00DE754B" w:rsidRPr="00DE754B">
        <w:rPr>
          <w:b/>
          <w:color w:val="62B5E5" w:themeColor="accent3"/>
          <w:sz w:val="24"/>
          <w:szCs w:val="24"/>
          <w:lang w:val="en-US"/>
        </w:rPr>
        <w:t xml:space="preserve"> and </w:t>
      </w:r>
      <w:r w:rsidR="009E493D">
        <w:rPr>
          <w:b/>
          <w:color w:val="62B5E5" w:themeColor="accent3"/>
          <w:sz w:val="24"/>
          <w:szCs w:val="24"/>
          <w:lang w:val="en-US"/>
        </w:rPr>
        <w:t>Stewardship</w:t>
      </w:r>
      <w:bookmarkEnd w:id="119"/>
    </w:p>
    <w:p w14:paraId="329F5857" w14:textId="77777777" w:rsidR="009E493D" w:rsidRPr="0077218F" w:rsidRDefault="009E493D"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7C7B4D92" w14:textId="37ECF9D6" w:rsidR="0069719F" w:rsidRDefault="009E493D"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77218F">
        <w:rPr>
          <w:rFonts w:asciiTheme="majorHAnsi" w:eastAsia="Times New Roman" w:hAnsiTheme="majorHAnsi" w:cs="Arial"/>
          <w:sz w:val="22"/>
          <w:szCs w:val="22"/>
        </w:rPr>
        <w:t xml:space="preserve">The </w:t>
      </w:r>
      <w:r w:rsidR="00D158B5">
        <w:rPr>
          <w:rFonts w:asciiTheme="majorHAnsi" w:eastAsia="Times New Roman" w:hAnsiTheme="majorHAnsi" w:cs="Arial"/>
          <w:sz w:val="22"/>
          <w:szCs w:val="22"/>
        </w:rPr>
        <w:t>Trustee</w:t>
      </w:r>
      <w:r w:rsidR="000F64AD" w:rsidRPr="0077218F">
        <w:rPr>
          <w:rFonts w:asciiTheme="majorHAnsi" w:eastAsia="Times New Roman" w:hAnsiTheme="majorHAnsi" w:cs="Arial"/>
          <w:sz w:val="22"/>
          <w:szCs w:val="22"/>
        </w:rPr>
        <w:t xml:space="preserve"> acknowledge</w:t>
      </w:r>
      <w:r w:rsidR="00E31D79">
        <w:rPr>
          <w:rFonts w:asciiTheme="majorHAnsi" w:eastAsia="Times New Roman" w:hAnsiTheme="majorHAnsi" w:cs="Arial"/>
          <w:sz w:val="22"/>
          <w:szCs w:val="22"/>
        </w:rPr>
        <w:t>s</w:t>
      </w:r>
      <w:r w:rsidRPr="0077218F">
        <w:rPr>
          <w:rFonts w:asciiTheme="majorHAnsi" w:eastAsia="Times New Roman" w:hAnsiTheme="majorHAnsi" w:cs="Arial"/>
          <w:sz w:val="22"/>
          <w:szCs w:val="22"/>
        </w:rPr>
        <w:t xml:space="preserve"> that certain </w:t>
      </w:r>
      <w:r w:rsidR="00C33CC3">
        <w:rPr>
          <w:rFonts w:asciiTheme="majorHAnsi" w:eastAsia="Times New Roman" w:hAnsiTheme="majorHAnsi" w:cs="Arial"/>
          <w:sz w:val="22"/>
          <w:szCs w:val="22"/>
        </w:rPr>
        <w:t>environmental, social and governance issues, including climate change (together referred to as “</w:t>
      </w:r>
      <w:r w:rsidRPr="0077218F">
        <w:rPr>
          <w:rFonts w:asciiTheme="majorHAnsi" w:eastAsia="Times New Roman" w:hAnsiTheme="majorHAnsi" w:cs="Arial"/>
          <w:sz w:val="22"/>
          <w:szCs w:val="22"/>
        </w:rPr>
        <w:t>ESG</w:t>
      </w:r>
      <w:r w:rsidR="00C33CC3">
        <w:rPr>
          <w:rFonts w:asciiTheme="majorHAnsi" w:eastAsia="Times New Roman" w:hAnsiTheme="majorHAnsi" w:cs="Arial"/>
          <w:sz w:val="22"/>
          <w:szCs w:val="22"/>
        </w:rPr>
        <w:t>”</w:t>
      </w:r>
      <w:r w:rsidRPr="0077218F">
        <w:rPr>
          <w:rFonts w:asciiTheme="majorHAnsi" w:eastAsia="Times New Roman" w:hAnsiTheme="majorHAnsi" w:cs="Arial"/>
          <w:sz w:val="22"/>
          <w:szCs w:val="22"/>
        </w:rPr>
        <w:t xml:space="preserve"> factors</w:t>
      </w:r>
      <w:r w:rsidR="00C33CC3">
        <w:rPr>
          <w:rFonts w:asciiTheme="majorHAnsi" w:eastAsia="Times New Roman" w:hAnsiTheme="majorHAnsi" w:cs="Arial"/>
          <w:sz w:val="22"/>
          <w:szCs w:val="22"/>
        </w:rPr>
        <w:t>)</w:t>
      </w:r>
      <w:r w:rsidRPr="0077218F">
        <w:rPr>
          <w:rFonts w:asciiTheme="majorHAnsi" w:eastAsia="Times New Roman" w:hAnsiTheme="majorHAnsi" w:cs="Arial"/>
          <w:sz w:val="22"/>
          <w:szCs w:val="22"/>
        </w:rPr>
        <w:t xml:space="preserve"> are financially material and may therefore influence the risk and return characteristics of the </w:t>
      </w:r>
      <w:r w:rsidR="00E2203F">
        <w:rPr>
          <w:rFonts w:asciiTheme="majorHAnsi" w:eastAsia="Times New Roman" w:hAnsiTheme="majorHAnsi" w:cs="Arial"/>
          <w:sz w:val="22"/>
          <w:szCs w:val="22"/>
        </w:rPr>
        <w:t>Scheme</w:t>
      </w:r>
      <w:r w:rsidRPr="0077218F">
        <w:rPr>
          <w:rFonts w:asciiTheme="majorHAnsi" w:eastAsia="Times New Roman" w:hAnsiTheme="majorHAnsi" w:cs="Arial"/>
          <w:sz w:val="22"/>
          <w:szCs w:val="22"/>
        </w:rPr>
        <w:t xml:space="preserve">’s investments and the likelihood that the </w:t>
      </w:r>
      <w:r w:rsidR="00E2203F">
        <w:rPr>
          <w:rFonts w:asciiTheme="majorHAnsi" w:eastAsia="Times New Roman" w:hAnsiTheme="majorHAnsi" w:cs="Arial"/>
          <w:sz w:val="22"/>
          <w:szCs w:val="22"/>
        </w:rPr>
        <w:t>Scheme</w:t>
      </w:r>
      <w:r w:rsidRPr="0077218F">
        <w:rPr>
          <w:rFonts w:asciiTheme="majorHAnsi" w:eastAsia="Times New Roman" w:hAnsiTheme="majorHAnsi" w:cs="Arial"/>
          <w:sz w:val="22"/>
          <w:szCs w:val="22"/>
        </w:rPr>
        <w:t>’s objectives will be ac</w:t>
      </w:r>
      <w:r w:rsidR="000F64AD" w:rsidRPr="0077218F">
        <w:rPr>
          <w:rFonts w:asciiTheme="majorHAnsi" w:eastAsia="Times New Roman" w:hAnsiTheme="majorHAnsi" w:cs="Arial"/>
          <w:sz w:val="22"/>
          <w:szCs w:val="22"/>
        </w:rPr>
        <w:t>hieved.</w:t>
      </w:r>
      <w:r w:rsidR="0069719F">
        <w:rPr>
          <w:rFonts w:asciiTheme="majorHAnsi" w:eastAsia="Times New Roman" w:hAnsiTheme="majorHAnsi" w:cs="Arial"/>
          <w:sz w:val="22"/>
          <w:szCs w:val="22"/>
        </w:rPr>
        <w:t xml:space="preserve"> </w:t>
      </w:r>
    </w:p>
    <w:p w14:paraId="255A0620" w14:textId="77777777" w:rsidR="0069719F" w:rsidRDefault="0069719F"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260CC69E" w14:textId="7BFF83A3" w:rsidR="009E493D" w:rsidRDefault="000F64AD"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77218F">
        <w:rPr>
          <w:rFonts w:asciiTheme="majorHAnsi" w:eastAsia="Times New Roman" w:hAnsiTheme="majorHAnsi" w:cs="Arial"/>
          <w:sz w:val="22"/>
          <w:szCs w:val="22"/>
        </w:rPr>
        <w:t xml:space="preserve">To confirm, the </w:t>
      </w:r>
      <w:r w:rsidR="00D158B5">
        <w:rPr>
          <w:rFonts w:asciiTheme="majorHAnsi" w:eastAsia="Times New Roman" w:hAnsiTheme="majorHAnsi" w:cs="Arial"/>
          <w:sz w:val="22"/>
          <w:szCs w:val="22"/>
        </w:rPr>
        <w:t>Trustee</w:t>
      </w:r>
      <w:r w:rsidRPr="0077218F">
        <w:rPr>
          <w:rFonts w:asciiTheme="majorHAnsi" w:eastAsia="Times New Roman" w:hAnsiTheme="majorHAnsi" w:cs="Arial"/>
          <w:sz w:val="22"/>
          <w:szCs w:val="22"/>
        </w:rPr>
        <w:t>’</w:t>
      </w:r>
      <w:r w:rsidR="00E31D79">
        <w:rPr>
          <w:rFonts w:asciiTheme="majorHAnsi" w:eastAsia="Times New Roman" w:hAnsiTheme="majorHAnsi" w:cs="Arial"/>
          <w:sz w:val="22"/>
          <w:szCs w:val="22"/>
        </w:rPr>
        <w:t>s</w:t>
      </w:r>
      <w:r w:rsidR="009E493D" w:rsidRPr="0077218F">
        <w:rPr>
          <w:rFonts w:asciiTheme="majorHAnsi" w:eastAsia="Times New Roman" w:hAnsiTheme="majorHAnsi" w:cs="Arial"/>
          <w:sz w:val="22"/>
          <w:szCs w:val="22"/>
        </w:rPr>
        <w:t xml:space="preserve"> policy is not to take into account non-financial matters in the selection, retention, and realisation of investments. Therefore, no consideration has been given to non-financial matters, nor has the </w:t>
      </w:r>
      <w:r w:rsidR="00F5624D">
        <w:rPr>
          <w:rFonts w:asciiTheme="majorHAnsi" w:eastAsia="Times New Roman" w:hAnsiTheme="majorHAnsi" w:cs="Arial"/>
          <w:sz w:val="22"/>
          <w:szCs w:val="22"/>
        </w:rPr>
        <w:t>Scheme</w:t>
      </w:r>
      <w:r w:rsidR="009E493D" w:rsidRPr="0077218F">
        <w:rPr>
          <w:rFonts w:asciiTheme="majorHAnsi" w:eastAsia="Times New Roman" w:hAnsiTheme="majorHAnsi" w:cs="Arial"/>
          <w:sz w:val="22"/>
          <w:szCs w:val="22"/>
        </w:rPr>
        <w:t>’s membership been consulted on such issues.</w:t>
      </w:r>
    </w:p>
    <w:p w14:paraId="7042887E" w14:textId="116FBF47" w:rsidR="00C33CC3" w:rsidRDefault="00C33CC3"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0709B1BB" w14:textId="32036AE5" w:rsidR="00C33CC3" w:rsidRPr="0077218F" w:rsidRDefault="00C33CC3"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77218F">
        <w:rPr>
          <w:rFonts w:asciiTheme="majorHAnsi" w:eastAsia="Times New Roman" w:hAnsiTheme="majorHAnsi" w:cs="Arial"/>
          <w:sz w:val="22"/>
          <w:szCs w:val="22"/>
        </w:rPr>
        <w:t xml:space="preserve">When setting investment strategy and selecting investments, the </w:t>
      </w:r>
      <w:r>
        <w:rPr>
          <w:rFonts w:asciiTheme="majorHAnsi" w:eastAsia="Times New Roman" w:hAnsiTheme="majorHAnsi" w:cs="Arial"/>
          <w:sz w:val="22"/>
          <w:szCs w:val="22"/>
        </w:rPr>
        <w:t>Trustee</w:t>
      </w:r>
      <w:r w:rsidRPr="0077218F">
        <w:rPr>
          <w:rFonts w:asciiTheme="majorHAnsi" w:eastAsia="Times New Roman" w:hAnsiTheme="majorHAnsi" w:cs="Arial"/>
          <w:sz w:val="22"/>
          <w:szCs w:val="22"/>
        </w:rPr>
        <w:t>’</w:t>
      </w:r>
      <w:r>
        <w:rPr>
          <w:rFonts w:asciiTheme="majorHAnsi" w:eastAsia="Times New Roman" w:hAnsiTheme="majorHAnsi" w:cs="Arial"/>
          <w:sz w:val="22"/>
          <w:szCs w:val="22"/>
        </w:rPr>
        <w:t>s</w:t>
      </w:r>
      <w:r w:rsidRPr="0077218F">
        <w:rPr>
          <w:rFonts w:asciiTheme="majorHAnsi" w:eastAsia="Times New Roman" w:hAnsiTheme="majorHAnsi" w:cs="Arial"/>
          <w:sz w:val="22"/>
          <w:szCs w:val="22"/>
        </w:rPr>
        <w:t xml:space="preserve"> first priority is the fin</w:t>
      </w:r>
      <w:r>
        <w:rPr>
          <w:rFonts w:asciiTheme="majorHAnsi" w:eastAsia="Times New Roman" w:hAnsiTheme="majorHAnsi" w:cs="Arial"/>
          <w:sz w:val="22"/>
          <w:szCs w:val="22"/>
        </w:rPr>
        <w:t>ancial interests of the members. The Trustee is satisfied that the existing fund investments fulfil the needs of their target investment strategy.</w:t>
      </w:r>
      <w:r w:rsidR="00167CF5">
        <w:rPr>
          <w:rFonts w:asciiTheme="majorHAnsi" w:eastAsia="Times New Roman" w:hAnsiTheme="majorHAnsi" w:cs="Arial"/>
          <w:sz w:val="22"/>
          <w:szCs w:val="22"/>
        </w:rPr>
        <w:t xml:space="preserve"> </w:t>
      </w:r>
    </w:p>
    <w:p w14:paraId="41F57C75" w14:textId="4EA3651D" w:rsidR="009E493D" w:rsidRPr="0077218F" w:rsidRDefault="009E493D"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46E1DC65" w14:textId="77777777" w:rsidR="00167CF5" w:rsidRDefault="00B90B0C"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77218F">
        <w:rPr>
          <w:rFonts w:asciiTheme="majorHAnsi" w:eastAsia="Times New Roman" w:hAnsiTheme="majorHAnsi" w:cs="Arial"/>
          <w:sz w:val="22"/>
          <w:szCs w:val="22"/>
        </w:rPr>
        <w:t xml:space="preserve">The </w:t>
      </w:r>
      <w:r w:rsidR="00D158B5">
        <w:rPr>
          <w:rFonts w:asciiTheme="majorHAnsi" w:eastAsia="Times New Roman" w:hAnsiTheme="majorHAnsi" w:cs="Arial"/>
          <w:sz w:val="22"/>
          <w:szCs w:val="22"/>
        </w:rPr>
        <w:t>Trustee</w:t>
      </w:r>
      <w:r w:rsidRPr="0077218F">
        <w:rPr>
          <w:rFonts w:asciiTheme="majorHAnsi" w:eastAsia="Times New Roman" w:hAnsiTheme="majorHAnsi" w:cs="Arial"/>
          <w:sz w:val="22"/>
          <w:szCs w:val="22"/>
        </w:rPr>
        <w:t>’</w:t>
      </w:r>
      <w:r w:rsidR="00E31D79">
        <w:rPr>
          <w:rFonts w:asciiTheme="majorHAnsi" w:eastAsia="Times New Roman" w:hAnsiTheme="majorHAnsi" w:cs="Arial"/>
          <w:sz w:val="22"/>
          <w:szCs w:val="22"/>
        </w:rPr>
        <w:t>s</w:t>
      </w:r>
      <w:r w:rsidR="009E493D" w:rsidRPr="0077218F">
        <w:rPr>
          <w:rFonts w:asciiTheme="majorHAnsi" w:eastAsia="Times New Roman" w:hAnsiTheme="majorHAnsi" w:cs="Arial"/>
          <w:sz w:val="22"/>
          <w:szCs w:val="22"/>
        </w:rPr>
        <w:t xml:space="preserve"> policy is to inves</w:t>
      </w:r>
      <w:r w:rsidRPr="0077218F">
        <w:rPr>
          <w:rFonts w:asciiTheme="majorHAnsi" w:eastAsia="Times New Roman" w:hAnsiTheme="majorHAnsi" w:cs="Arial"/>
          <w:sz w:val="22"/>
          <w:szCs w:val="22"/>
        </w:rPr>
        <w:t>t in pooled investment vehicles</w:t>
      </w:r>
      <w:r w:rsidR="001C11B8">
        <w:rPr>
          <w:rFonts w:asciiTheme="majorHAnsi" w:eastAsia="Times New Roman" w:hAnsiTheme="majorHAnsi" w:cs="Arial"/>
          <w:sz w:val="22"/>
          <w:szCs w:val="22"/>
        </w:rPr>
        <w:t xml:space="preserve"> with LGIM</w:t>
      </w:r>
      <w:r w:rsidRPr="0077218F">
        <w:rPr>
          <w:rFonts w:asciiTheme="majorHAnsi" w:eastAsia="Times New Roman" w:hAnsiTheme="majorHAnsi" w:cs="Arial"/>
          <w:sz w:val="22"/>
          <w:szCs w:val="22"/>
        </w:rPr>
        <w:t>.</w:t>
      </w:r>
      <w:bookmarkStart w:id="120" w:name="_DV_M122"/>
      <w:bookmarkEnd w:id="120"/>
      <w:r w:rsidRPr="0077218F">
        <w:rPr>
          <w:rFonts w:asciiTheme="majorHAnsi" w:eastAsia="Times New Roman" w:hAnsiTheme="majorHAnsi" w:cs="Arial"/>
          <w:sz w:val="22"/>
          <w:szCs w:val="22"/>
        </w:rPr>
        <w:t xml:space="preserve"> I</w:t>
      </w:r>
      <w:r w:rsidR="009E493D" w:rsidRPr="0077218F">
        <w:rPr>
          <w:rFonts w:asciiTheme="majorHAnsi" w:eastAsia="Times New Roman" w:hAnsiTheme="majorHAnsi" w:cs="Arial"/>
          <w:sz w:val="22"/>
          <w:szCs w:val="22"/>
        </w:rPr>
        <w:t>t is</w:t>
      </w:r>
      <w:r w:rsidR="001772EE">
        <w:rPr>
          <w:rFonts w:asciiTheme="majorHAnsi" w:eastAsia="Times New Roman" w:hAnsiTheme="majorHAnsi" w:cs="Arial"/>
          <w:sz w:val="22"/>
          <w:szCs w:val="22"/>
        </w:rPr>
        <w:t xml:space="preserve"> therefore</w:t>
      </w:r>
      <w:r w:rsidR="009E493D" w:rsidRPr="0077218F">
        <w:rPr>
          <w:rFonts w:asciiTheme="majorHAnsi" w:eastAsia="Times New Roman" w:hAnsiTheme="majorHAnsi" w:cs="Arial"/>
          <w:sz w:val="22"/>
          <w:szCs w:val="22"/>
        </w:rPr>
        <w:t xml:space="preserve"> </w:t>
      </w:r>
      <w:r w:rsidR="00A720FC">
        <w:rPr>
          <w:rFonts w:asciiTheme="majorHAnsi" w:eastAsia="Times New Roman" w:hAnsiTheme="majorHAnsi" w:cs="Arial"/>
          <w:sz w:val="22"/>
          <w:szCs w:val="22"/>
        </w:rPr>
        <w:t>LGIM</w:t>
      </w:r>
      <w:r w:rsidR="009E493D" w:rsidRPr="0077218F">
        <w:rPr>
          <w:rFonts w:asciiTheme="majorHAnsi" w:eastAsia="Times New Roman" w:hAnsiTheme="majorHAnsi" w:cs="Arial"/>
          <w:sz w:val="22"/>
          <w:szCs w:val="22"/>
        </w:rPr>
        <w:t xml:space="preserve"> that </w:t>
      </w:r>
      <w:r w:rsidR="00552FFE">
        <w:rPr>
          <w:rFonts w:asciiTheme="majorHAnsi" w:eastAsia="Times New Roman" w:hAnsiTheme="majorHAnsi" w:cs="Arial"/>
          <w:sz w:val="22"/>
          <w:szCs w:val="22"/>
        </w:rPr>
        <w:t>is</w:t>
      </w:r>
      <w:r w:rsidR="009E493D" w:rsidRPr="0077218F">
        <w:rPr>
          <w:rFonts w:asciiTheme="majorHAnsi" w:eastAsia="Times New Roman" w:hAnsiTheme="majorHAnsi" w:cs="Arial"/>
          <w:sz w:val="22"/>
          <w:szCs w:val="22"/>
        </w:rPr>
        <w:t xml:space="preserve"> responsible for the policy on taking ESG considerations into account in the selection, retention and realisation of investments within the pooled investment vehicles and for the exercise of rights (including voting rights) attaching to these investments. </w:t>
      </w:r>
      <w:r w:rsidR="00167CF5" w:rsidRPr="00167CF5">
        <w:rPr>
          <w:rFonts w:asciiTheme="majorHAnsi" w:eastAsia="Times New Roman" w:hAnsiTheme="majorHAnsi" w:cs="Arial"/>
          <w:sz w:val="22"/>
          <w:szCs w:val="22"/>
        </w:rPr>
        <w:t xml:space="preserve"> </w:t>
      </w:r>
    </w:p>
    <w:p w14:paraId="754D09C9" w14:textId="77777777" w:rsidR="00167CF5" w:rsidRDefault="00167CF5"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4C196A3A" w14:textId="55C0BCF6" w:rsidR="00774AE6" w:rsidRDefault="00774AE6"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lastRenderedPageBreak/>
        <w:t>The Trustee has selected an ESG focused global equity fund in the LGIM Future World Global Equity Index Fund</w:t>
      </w:r>
      <w:r w:rsidR="00AE3231">
        <w:rPr>
          <w:rFonts w:asciiTheme="majorHAnsi" w:eastAsia="Times New Roman" w:hAnsiTheme="majorHAnsi" w:cs="Arial"/>
          <w:sz w:val="22"/>
          <w:szCs w:val="22"/>
        </w:rPr>
        <w:t xml:space="preserve"> (GBP Hedged)</w:t>
      </w:r>
      <w:r>
        <w:rPr>
          <w:rFonts w:asciiTheme="majorHAnsi" w:eastAsia="Times New Roman" w:hAnsiTheme="majorHAnsi" w:cs="Arial"/>
          <w:sz w:val="22"/>
          <w:szCs w:val="22"/>
        </w:rPr>
        <w:t xml:space="preserve"> </w:t>
      </w:r>
      <w:r w:rsidR="005473F1">
        <w:rPr>
          <w:rFonts w:asciiTheme="majorHAnsi" w:eastAsia="Times New Roman" w:hAnsiTheme="majorHAnsi" w:cs="Arial"/>
          <w:sz w:val="22"/>
          <w:szCs w:val="22"/>
        </w:rPr>
        <w:t xml:space="preserve">to further embed the Trustee’s ESG policies into the investment strategy. </w:t>
      </w:r>
      <w:r w:rsidR="00F8649C">
        <w:rPr>
          <w:rFonts w:asciiTheme="majorHAnsi" w:eastAsia="Times New Roman" w:hAnsiTheme="majorHAnsi" w:cs="Arial"/>
          <w:sz w:val="22"/>
          <w:szCs w:val="22"/>
        </w:rPr>
        <w:t xml:space="preserve">This Fund tilts the equity universe to increase exposure to companies with higher Legal &amp; General ESG scores and excludes investment in companies on Legal &amp; General’s Future World Protections List. </w:t>
      </w:r>
      <w:r w:rsidR="005473F1">
        <w:rPr>
          <w:rFonts w:asciiTheme="majorHAnsi" w:eastAsia="Times New Roman" w:hAnsiTheme="majorHAnsi" w:cs="Arial"/>
          <w:sz w:val="22"/>
          <w:szCs w:val="22"/>
        </w:rPr>
        <w:t>Given the ESG-tilted nature of the investment, the Trustee expects LGIM to undertake more active ESG investment decisions</w:t>
      </w:r>
      <w:r w:rsidR="00F8649C">
        <w:rPr>
          <w:rFonts w:asciiTheme="majorHAnsi" w:eastAsia="Times New Roman" w:hAnsiTheme="majorHAnsi" w:cs="Arial"/>
          <w:sz w:val="22"/>
          <w:szCs w:val="22"/>
        </w:rPr>
        <w:t>.</w:t>
      </w:r>
    </w:p>
    <w:p w14:paraId="3E6D100A" w14:textId="77777777" w:rsidR="00774AE6" w:rsidRDefault="00774AE6"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68B0AA21" w14:textId="1508294D" w:rsidR="009E493D" w:rsidRDefault="009E493D"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bookmarkStart w:id="121" w:name="_DV_M123"/>
      <w:bookmarkStart w:id="122" w:name="_DV_M124"/>
      <w:bookmarkStart w:id="123" w:name="_DV_M125"/>
      <w:bookmarkEnd w:id="121"/>
      <w:bookmarkEnd w:id="122"/>
      <w:bookmarkEnd w:id="123"/>
      <w:r w:rsidRPr="0077218F">
        <w:rPr>
          <w:rFonts w:asciiTheme="majorHAnsi" w:eastAsia="Times New Roman" w:hAnsiTheme="majorHAnsi" w:cs="Arial"/>
          <w:sz w:val="22"/>
          <w:szCs w:val="22"/>
        </w:rPr>
        <w:t xml:space="preserve">The </w:t>
      </w:r>
      <w:r w:rsidR="00D158B5">
        <w:rPr>
          <w:rFonts w:asciiTheme="majorHAnsi" w:eastAsia="Times New Roman" w:hAnsiTheme="majorHAnsi" w:cs="Arial"/>
          <w:sz w:val="22"/>
          <w:szCs w:val="22"/>
        </w:rPr>
        <w:t>Trustee</w:t>
      </w:r>
      <w:r w:rsidR="00B90B0C" w:rsidRPr="0077218F">
        <w:rPr>
          <w:rFonts w:asciiTheme="majorHAnsi" w:eastAsia="Times New Roman" w:hAnsiTheme="majorHAnsi" w:cs="Arial"/>
          <w:sz w:val="22"/>
          <w:szCs w:val="22"/>
        </w:rPr>
        <w:t>’</w:t>
      </w:r>
      <w:r w:rsidR="00E31D79">
        <w:rPr>
          <w:rFonts w:asciiTheme="majorHAnsi" w:eastAsia="Times New Roman" w:hAnsiTheme="majorHAnsi" w:cs="Arial"/>
          <w:sz w:val="22"/>
          <w:szCs w:val="22"/>
        </w:rPr>
        <w:t>s</w:t>
      </w:r>
      <w:r w:rsidRPr="0077218F">
        <w:rPr>
          <w:rFonts w:asciiTheme="majorHAnsi" w:eastAsia="Times New Roman" w:hAnsiTheme="majorHAnsi" w:cs="Arial"/>
          <w:sz w:val="22"/>
          <w:szCs w:val="22"/>
        </w:rPr>
        <w:t xml:space="preserve"> policy in relation to any rights (including voting rights) attaching to its investments is to exercise those rights to protect the value of the </w:t>
      </w:r>
      <w:r w:rsidR="00F5624D">
        <w:rPr>
          <w:rFonts w:asciiTheme="majorHAnsi" w:eastAsia="Times New Roman" w:hAnsiTheme="majorHAnsi" w:cs="Arial"/>
          <w:sz w:val="22"/>
          <w:szCs w:val="22"/>
        </w:rPr>
        <w:t>Scheme</w:t>
      </w:r>
      <w:r w:rsidRPr="0077218F">
        <w:rPr>
          <w:rFonts w:asciiTheme="majorHAnsi" w:eastAsia="Times New Roman" w:hAnsiTheme="majorHAnsi" w:cs="Arial"/>
          <w:sz w:val="22"/>
          <w:szCs w:val="22"/>
        </w:rPr>
        <w:t>’s interests in the investments.</w:t>
      </w:r>
      <w:r w:rsidR="00F5624D">
        <w:rPr>
          <w:rFonts w:asciiTheme="majorHAnsi" w:eastAsia="Times New Roman" w:hAnsiTheme="majorHAnsi" w:cs="Arial"/>
          <w:sz w:val="22"/>
          <w:szCs w:val="22"/>
        </w:rPr>
        <w:t xml:space="preserve"> </w:t>
      </w:r>
      <w:r w:rsidR="00F5624D" w:rsidRPr="00F5624D">
        <w:rPr>
          <w:rFonts w:asciiTheme="majorHAnsi" w:eastAsia="Times New Roman" w:hAnsiTheme="majorHAnsi" w:cs="Arial"/>
          <w:sz w:val="22"/>
          <w:szCs w:val="22"/>
          <w:lang w:val="en-US"/>
        </w:rPr>
        <w:t xml:space="preserve">The Trustee expects </w:t>
      </w:r>
      <w:r w:rsidR="001772EE">
        <w:rPr>
          <w:rFonts w:asciiTheme="majorHAnsi" w:eastAsia="Times New Roman" w:hAnsiTheme="majorHAnsi" w:cs="Arial"/>
          <w:sz w:val="22"/>
          <w:szCs w:val="22"/>
          <w:lang w:val="en-US"/>
        </w:rPr>
        <w:t>LGIM</w:t>
      </w:r>
      <w:r w:rsidR="00F5624D" w:rsidRPr="00F5624D">
        <w:rPr>
          <w:rFonts w:asciiTheme="majorHAnsi" w:eastAsia="Times New Roman" w:hAnsiTheme="majorHAnsi" w:cs="Arial"/>
          <w:sz w:val="22"/>
          <w:szCs w:val="22"/>
          <w:lang w:val="en-US"/>
        </w:rPr>
        <w:t xml:space="preserve"> to engage with investee companies (and other relevant persons including, but not limited to, investment managers, and issuers/other holders of debt and equity</w:t>
      </w:r>
      <w:r w:rsidR="00E22245">
        <w:rPr>
          <w:rFonts w:asciiTheme="majorHAnsi" w:eastAsia="Times New Roman" w:hAnsiTheme="majorHAnsi" w:cs="Arial"/>
          <w:sz w:val="22"/>
          <w:szCs w:val="22"/>
          <w:lang w:val="en-US"/>
        </w:rPr>
        <w:t xml:space="preserve"> and other stakeholders</w:t>
      </w:r>
      <w:r w:rsidR="00F5624D" w:rsidRPr="00F5624D">
        <w:rPr>
          <w:rFonts w:asciiTheme="majorHAnsi" w:eastAsia="Times New Roman" w:hAnsiTheme="majorHAnsi" w:cs="Arial"/>
          <w:sz w:val="22"/>
          <w:szCs w:val="22"/>
          <w:lang w:val="en-US"/>
        </w:rPr>
        <w:t xml:space="preserve">) on aspects such as performance, strategy, </w:t>
      </w:r>
      <w:r w:rsidR="00E22245">
        <w:rPr>
          <w:rFonts w:asciiTheme="majorHAnsi" w:eastAsia="Times New Roman" w:hAnsiTheme="majorHAnsi" w:cs="Arial"/>
          <w:sz w:val="22"/>
          <w:szCs w:val="22"/>
          <w:lang w:val="en-US"/>
        </w:rPr>
        <w:t xml:space="preserve">capital structure, management of actual or potential conflicts of interest, </w:t>
      </w:r>
      <w:r w:rsidR="00F5624D" w:rsidRPr="00F5624D">
        <w:rPr>
          <w:rFonts w:asciiTheme="majorHAnsi" w:eastAsia="Times New Roman" w:hAnsiTheme="majorHAnsi" w:cs="Arial"/>
          <w:sz w:val="22"/>
          <w:szCs w:val="22"/>
          <w:lang w:val="en-US"/>
        </w:rPr>
        <w:t xml:space="preserve">risks, corporate governance, social and environmental issues concerning the </w:t>
      </w:r>
      <w:r w:rsidR="00D158B5">
        <w:rPr>
          <w:rFonts w:asciiTheme="majorHAnsi" w:eastAsia="Times New Roman" w:hAnsiTheme="majorHAnsi" w:cs="Arial"/>
          <w:sz w:val="22"/>
          <w:szCs w:val="22"/>
          <w:lang w:val="en-US"/>
        </w:rPr>
        <w:t>Trustee</w:t>
      </w:r>
      <w:r w:rsidR="00F5624D" w:rsidRPr="00F5624D">
        <w:rPr>
          <w:rFonts w:asciiTheme="majorHAnsi" w:eastAsia="Times New Roman" w:hAnsiTheme="majorHAnsi" w:cs="Arial"/>
          <w:sz w:val="22"/>
          <w:szCs w:val="22"/>
          <w:lang w:val="en-US"/>
        </w:rPr>
        <w:t>’</w:t>
      </w:r>
      <w:r w:rsidR="00AE3231">
        <w:rPr>
          <w:rFonts w:asciiTheme="majorHAnsi" w:eastAsia="Times New Roman" w:hAnsiTheme="majorHAnsi" w:cs="Arial"/>
          <w:sz w:val="22"/>
          <w:szCs w:val="22"/>
          <w:lang w:val="en-US"/>
        </w:rPr>
        <w:t>s</w:t>
      </w:r>
      <w:r w:rsidR="00F5624D" w:rsidRPr="00F5624D">
        <w:rPr>
          <w:rFonts w:asciiTheme="majorHAnsi" w:eastAsia="Times New Roman" w:hAnsiTheme="majorHAnsi" w:cs="Arial"/>
          <w:sz w:val="22"/>
          <w:szCs w:val="22"/>
          <w:lang w:val="en-US"/>
        </w:rPr>
        <w:t xml:space="preserve"> investments. The </w:t>
      </w:r>
      <w:r w:rsidR="00D158B5">
        <w:rPr>
          <w:rFonts w:asciiTheme="majorHAnsi" w:eastAsia="Times New Roman" w:hAnsiTheme="majorHAnsi" w:cs="Arial"/>
          <w:sz w:val="22"/>
          <w:szCs w:val="22"/>
          <w:lang w:val="en-US"/>
        </w:rPr>
        <w:t>Trustee</w:t>
      </w:r>
      <w:r w:rsidR="00F5624D" w:rsidRPr="00F5624D">
        <w:rPr>
          <w:rFonts w:asciiTheme="majorHAnsi" w:eastAsia="Times New Roman" w:hAnsiTheme="majorHAnsi" w:cs="Arial"/>
          <w:sz w:val="22"/>
          <w:szCs w:val="22"/>
          <w:lang w:val="en-US"/>
        </w:rPr>
        <w:t xml:space="preserve"> believe</w:t>
      </w:r>
      <w:r w:rsidR="00E31D79">
        <w:rPr>
          <w:rFonts w:asciiTheme="majorHAnsi" w:eastAsia="Times New Roman" w:hAnsiTheme="majorHAnsi" w:cs="Arial"/>
          <w:sz w:val="22"/>
          <w:szCs w:val="22"/>
          <w:lang w:val="en-US"/>
        </w:rPr>
        <w:t>s</w:t>
      </w:r>
      <w:r w:rsidR="00F5624D" w:rsidRPr="00F5624D">
        <w:rPr>
          <w:rFonts w:asciiTheme="majorHAnsi" w:eastAsia="Times New Roman" w:hAnsiTheme="majorHAnsi" w:cs="Arial"/>
          <w:sz w:val="22"/>
          <w:szCs w:val="22"/>
          <w:lang w:val="en-US"/>
        </w:rPr>
        <w:t xml:space="preserve"> that such engagement will protect and enhance the long-term value of its investments</w:t>
      </w:r>
      <w:r w:rsidR="00E31D79">
        <w:rPr>
          <w:rFonts w:asciiTheme="majorHAnsi" w:eastAsia="Times New Roman" w:hAnsiTheme="majorHAnsi" w:cs="Arial"/>
          <w:sz w:val="22"/>
          <w:szCs w:val="22"/>
          <w:lang w:val="en-US"/>
        </w:rPr>
        <w:t>.</w:t>
      </w:r>
      <w:r w:rsidR="001772EE">
        <w:rPr>
          <w:rFonts w:asciiTheme="majorHAnsi" w:eastAsia="Times New Roman" w:hAnsiTheme="majorHAnsi" w:cs="Arial"/>
          <w:sz w:val="22"/>
          <w:szCs w:val="22"/>
          <w:lang w:val="en-US"/>
        </w:rPr>
        <w:t xml:space="preserve"> </w:t>
      </w:r>
      <w:r w:rsidR="001772EE">
        <w:rPr>
          <w:rFonts w:asciiTheme="majorHAnsi" w:eastAsia="Times New Roman" w:hAnsiTheme="majorHAnsi" w:cs="Arial"/>
          <w:sz w:val="22"/>
          <w:szCs w:val="22"/>
        </w:rPr>
        <w:t>The Trustee expects LGIM</w:t>
      </w:r>
      <w:r w:rsidR="001772EE" w:rsidRPr="0077218F">
        <w:rPr>
          <w:rFonts w:asciiTheme="majorHAnsi" w:eastAsia="Times New Roman" w:hAnsiTheme="majorHAnsi" w:cs="Arial"/>
          <w:sz w:val="22"/>
          <w:szCs w:val="22"/>
        </w:rPr>
        <w:t xml:space="preserve"> to provide regular updates on how it exercises voting rights and actively engages with the companies in which it invests, including how often it votes against company proposals. The </w:t>
      </w:r>
      <w:r w:rsidR="001772EE">
        <w:rPr>
          <w:rFonts w:asciiTheme="majorHAnsi" w:eastAsia="Times New Roman" w:hAnsiTheme="majorHAnsi" w:cs="Arial"/>
          <w:sz w:val="22"/>
          <w:szCs w:val="22"/>
        </w:rPr>
        <w:t>Trustee</w:t>
      </w:r>
      <w:r w:rsidR="001772EE" w:rsidRPr="0077218F">
        <w:rPr>
          <w:rFonts w:asciiTheme="majorHAnsi" w:eastAsia="Times New Roman" w:hAnsiTheme="majorHAnsi" w:cs="Arial"/>
          <w:sz w:val="22"/>
          <w:szCs w:val="22"/>
        </w:rPr>
        <w:t xml:space="preserve"> will review </w:t>
      </w:r>
      <w:r w:rsidR="001772EE">
        <w:rPr>
          <w:rFonts w:asciiTheme="majorHAnsi" w:eastAsia="Times New Roman" w:hAnsiTheme="majorHAnsi" w:cs="Arial"/>
          <w:sz w:val="22"/>
          <w:szCs w:val="22"/>
        </w:rPr>
        <w:t xml:space="preserve">this information on </w:t>
      </w:r>
      <w:r w:rsidR="001772EE" w:rsidRPr="004B6234">
        <w:rPr>
          <w:rFonts w:asciiTheme="majorHAnsi" w:eastAsia="Times New Roman" w:hAnsiTheme="majorHAnsi" w:cs="Arial"/>
          <w:color w:val="000000" w:themeColor="text1"/>
          <w:sz w:val="22"/>
          <w:szCs w:val="22"/>
        </w:rPr>
        <w:t xml:space="preserve">a regular </w:t>
      </w:r>
      <w:r w:rsidR="001772EE">
        <w:rPr>
          <w:rFonts w:asciiTheme="majorHAnsi" w:eastAsia="Times New Roman" w:hAnsiTheme="majorHAnsi" w:cs="Arial"/>
          <w:sz w:val="22"/>
          <w:szCs w:val="22"/>
        </w:rPr>
        <w:t>basis.</w:t>
      </w:r>
    </w:p>
    <w:p w14:paraId="2151E9E6" w14:textId="5E86E442" w:rsidR="00423677" w:rsidRDefault="00423677"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7756F2C5" w14:textId="313F7468" w:rsidR="009E493D" w:rsidRDefault="00423677" w:rsidP="0077218F">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rFonts w:asciiTheme="majorHAnsi" w:eastAsia="Times New Roman" w:hAnsiTheme="majorHAnsi" w:cs="Arial"/>
          <w:sz w:val="22"/>
          <w:szCs w:val="22"/>
        </w:rPr>
        <w:t xml:space="preserve">The Trustee has not selected ESG focused or tilted investment funds for the buy and maintain corporate bond </w:t>
      </w:r>
      <w:r w:rsidR="00F8649C">
        <w:rPr>
          <w:rFonts w:asciiTheme="majorHAnsi" w:eastAsia="Times New Roman" w:hAnsiTheme="majorHAnsi" w:cs="Arial"/>
          <w:sz w:val="22"/>
          <w:szCs w:val="22"/>
        </w:rPr>
        <w:t xml:space="preserve">allocation </w:t>
      </w:r>
      <w:r>
        <w:rPr>
          <w:rFonts w:asciiTheme="majorHAnsi" w:eastAsia="Times New Roman" w:hAnsiTheme="majorHAnsi" w:cs="Arial"/>
          <w:sz w:val="22"/>
          <w:szCs w:val="22"/>
        </w:rPr>
        <w:t xml:space="preserve">but </w:t>
      </w:r>
      <w:r w:rsidR="00B90B0C" w:rsidRPr="0077218F">
        <w:rPr>
          <w:rFonts w:asciiTheme="majorHAnsi" w:eastAsia="Times New Roman" w:hAnsiTheme="majorHAnsi" w:cs="Arial"/>
          <w:sz w:val="22"/>
          <w:szCs w:val="22"/>
        </w:rPr>
        <w:t>expect</w:t>
      </w:r>
      <w:r w:rsidR="00E31D79">
        <w:rPr>
          <w:rFonts w:asciiTheme="majorHAnsi" w:eastAsia="Times New Roman" w:hAnsiTheme="majorHAnsi" w:cs="Arial"/>
          <w:sz w:val="22"/>
          <w:szCs w:val="22"/>
        </w:rPr>
        <w:t>s</w:t>
      </w:r>
      <w:r w:rsidR="009E493D" w:rsidRPr="0077218F">
        <w:rPr>
          <w:rFonts w:asciiTheme="majorHAnsi" w:eastAsia="Times New Roman" w:hAnsiTheme="majorHAnsi" w:cs="Arial"/>
          <w:sz w:val="22"/>
          <w:szCs w:val="22"/>
        </w:rPr>
        <w:t xml:space="preserve"> </w:t>
      </w:r>
      <w:r w:rsidR="001772EE">
        <w:rPr>
          <w:rFonts w:asciiTheme="majorHAnsi" w:eastAsia="Times New Roman" w:hAnsiTheme="majorHAnsi" w:cs="Arial"/>
          <w:sz w:val="22"/>
          <w:szCs w:val="22"/>
        </w:rPr>
        <w:t>LGIM</w:t>
      </w:r>
      <w:r w:rsidR="000E3CC1">
        <w:rPr>
          <w:rFonts w:asciiTheme="majorHAnsi" w:eastAsia="Times New Roman" w:hAnsiTheme="majorHAnsi" w:cs="Arial"/>
          <w:sz w:val="22"/>
          <w:szCs w:val="22"/>
        </w:rPr>
        <w:t xml:space="preserve"> to </w:t>
      </w:r>
      <w:r w:rsidR="00774BB2">
        <w:rPr>
          <w:rFonts w:asciiTheme="majorHAnsi" w:eastAsia="Times New Roman" w:hAnsiTheme="majorHAnsi" w:cs="Arial"/>
          <w:sz w:val="22"/>
          <w:szCs w:val="22"/>
        </w:rPr>
        <w:t xml:space="preserve">actively consider </w:t>
      </w:r>
      <w:r w:rsidR="000E3CC1">
        <w:rPr>
          <w:rFonts w:asciiTheme="majorHAnsi" w:eastAsia="Times New Roman" w:hAnsiTheme="majorHAnsi" w:cs="Arial"/>
          <w:sz w:val="22"/>
          <w:szCs w:val="22"/>
        </w:rPr>
        <w:t xml:space="preserve">ESG factors in the </w:t>
      </w:r>
      <w:r>
        <w:rPr>
          <w:rFonts w:asciiTheme="majorHAnsi" w:eastAsia="Times New Roman" w:hAnsiTheme="majorHAnsi" w:cs="Arial"/>
          <w:sz w:val="22"/>
          <w:szCs w:val="22"/>
        </w:rPr>
        <w:t>decision-making</w:t>
      </w:r>
      <w:r w:rsidR="000E3CC1">
        <w:rPr>
          <w:rFonts w:asciiTheme="majorHAnsi" w:eastAsia="Times New Roman" w:hAnsiTheme="majorHAnsi" w:cs="Arial"/>
          <w:sz w:val="22"/>
          <w:szCs w:val="22"/>
        </w:rPr>
        <w:t xml:space="preserve"> process when selecting, retaining and realising investments</w:t>
      </w:r>
      <w:r w:rsidR="003315CE">
        <w:rPr>
          <w:rFonts w:asciiTheme="majorHAnsi" w:eastAsia="Times New Roman" w:hAnsiTheme="majorHAnsi" w:cs="Arial"/>
          <w:sz w:val="22"/>
          <w:szCs w:val="22"/>
        </w:rPr>
        <w:t xml:space="preserve"> </w:t>
      </w:r>
      <w:r w:rsidR="0069719F">
        <w:rPr>
          <w:rFonts w:asciiTheme="majorHAnsi" w:eastAsia="Times New Roman" w:hAnsiTheme="majorHAnsi" w:cs="Arial"/>
          <w:sz w:val="22"/>
          <w:szCs w:val="22"/>
        </w:rPr>
        <w:t xml:space="preserve">as part of the assessment of </w:t>
      </w:r>
      <w:r>
        <w:rPr>
          <w:rFonts w:asciiTheme="majorHAnsi" w:eastAsia="Times New Roman" w:hAnsiTheme="majorHAnsi" w:cs="Arial"/>
          <w:sz w:val="22"/>
          <w:szCs w:val="22"/>
        </w:rPr>
        <w:t>long-term</w:t>
      </w:r>
      <w:r w:rsidR="0069719F">
        <w:rPr>
          <w:rFonts w:asciiTheme="majorHAnsi" w:eastAsia="Times New Roman" w:hAnsiTheme="majorHAnsi" w:cs="Arial"/>
          <w:sz w:val="22"/>
          <w:szCs w:val="22"/>
        </w:rPr>
        <w:t xml:space="preserve"> business and credit risk</w:t>
      </w:r>
      <w:r w:rsidR="006C3CAC">
        <w:rPr>
          <w:rFonts w:asciiTheme="majorHAnsi" w:eastAsia="Times New Roman" w:hAnsiTheme="majorHAnsi" w:cs="Arial"/>
          <w:sz w:val="22"/>
          <w:szCs w:val="22"/>
        </w:rPr>
        <w:t>.</w:t>
      </w:r>
      <w:r w:rsidR="00326A6D">
        <w:rPr>
          <w:rFonts w:asciiTheme="majorHAnsi" w:eastAsia="Times New Roman" w:hAnsiTheme="majorHAnsi" w:cs="Arial"/>
          <w:sz w:val="22"/>
          <w:szCs w:val="22"/>
        </w:rPr>
        <w:t xml:space="preserve"> The Trustee also expects LGIM to be engaging with investee companies on these matters.</w:t>
      </w:r>
    </w:p>
    <w:p w14:paraId="5354F977" w14:textId="1C5E2756" w:rsidR="00E22245" w:rsidRPr="00911F33" w:rsidRDefault="00E22245" w:rsidP="00911F33">
      <w:pPr>
        <w:pStyle w:val="Heading1"/>
        <w:numPr>
          <w:ilvl w:val="0"/>
          <w:numId w:val="15"/>
        </w:numPr>
        <w:rPr>
          <w:b/>
          <w:color w:val="62B5E5" w:themeColor="accent3"/>
          <w:sz w:val="24"/>
          <w:szCs w:val="24"/>
          <w:lang w:val="en-US"/>
        </w:rPr>
      </w:pPr>
      <w:bookmarkStart w:id="124" w:name="_Toc43128218"/>
      <w:bookmarkStart w:id="125" w:name="_Toc93664906"/>
      <w:r w:rsidRPr="00911F33">
        <w:rPr>
          <w:b/>
          <w:color w:val="62B5E5" w:themeColor="accent3"/>
          <w:sz w:val="24"/>
          <w:szCs w:val="24"/>
          <w:lang w:val="en-US"/>
        </w:rPr>
        <w:t>Asset Manager Arrangements</w:t>
      </w:r>
      <w:bookmarkEnd w:id="124"/>
      <w:bookmarkEnd w:id="125"/>
      <w:r>
        <w:rPr>
          <w:b/>
          <w:color w:val="62B5E5" w:themeColor="accent3"/>
          <w:sz w:val="24"/>
          <w:szCs w:val="24"/>
          <w:lang w:val="en-US"/>
        </w:rPr>
        <w:br/>
      </w:r>
    </w:p>
    <w:p w14:paraId="107262D5" w14:textId="375AD2EF" w:rsidR="00E405D8" w:rsidRDefault="00E22245" w:rsidP="00CD27E8">
      <w:pPr>
        <w:spacing w:line="280" w:lineRule="atLeast"/>
        <w:rPr>
          <w:rFonts w:asciiTheme="majorHAnsi" w:eastAsia="Times New Roman" w:hAnsiTheme="majorHAnsi" w:cs="Arial"/>
          <w:sz w:val="22"/>
          <w:szCs w:val="22"/>
        </w:rPr>
      </w:pPr>
      <w:r>
        <w:rPr>
          <w:rFonts w:asciiTheme="minorHAnsi" w:hAnsiTheme="minorHAnsi"/>
          <w:color w:val="000000"/>
          <w:sz w:val="22"/>
          <w:szCs w:val="22"/>
          <w:lang w:val="en-AU"/>
        </w:rPr>
        <w:t>If the Trustee</w:t>
      </w:r>
      <w:r w:rsidRPr="00D30699">
        <w:rPr>
          <w:rFonts w:asciiTheme="minorHAnsi" w:hAnsiTheme="minorHAnsi"/>
          <w:color w:val="000000"/>
          <w:sz w:val="22"/>
          <w:szCs w:val="22"/>
          <w:lang w:val="en-AU"/>
        </w:rPr>
        <w:t xml:space="preserve"> believe</w:t>
      </w:r>
      <w:r>
        <w:rPr>
          <w:rFonts w:asciiTheme="minorHAnsi" w:hAnsiTheme="minorHAnsi"/>
          <w:color w:val="000000"/>
          <w:sz w:val="22"/>
          <w:szCs w:val="22"/>
          <w:lang w:val="en-AU"/>
        </w:rPr>
        <w:t>s</w:t>
      </w:r>
      <w:r w:rsidRPr="00D30699">
        <w:rPr>
          <w:rFonts w:asciiTheme="minorHAnsi" w:hAnsiTheme="minorHAnsi"/>
          <w:color w:val="000000"/>
          <w:sz w:val="22"/>
          <w:szCs w:val="22"/>
          <w:lang w:val="en-AU"/>
        </w:rPr>
        <w:t xml:space="preserve"> that </w:t>
      </w:r>
      <w:r w:rsidR="001772EE">
        <w:rPr>
          <w:rFonts w:asciiTheme="minorHAnsi" w:hAnsiTheme="minorHAnsi"/>
          <w:color w:val="000000"/>
          <w:sz w:val="22"/>
          <w:szCs w:val="22"/>
          <w:lang w:val="en-AU"/>
        </w:rPr>
        <w:t>LGIM</w:t>
      </w:r>
      <w:r w:rsidRPr="00D30699">
        <w:rPr>
          <w:rFonts w:asciiTheme="minorHAnsi" w:hAnsiTheme="minorHAnsi"/>
          <w:color w:val="000000"/>
          <w:sz w:val="22"/>
          <w:szCs w:val="22"/>
          <w:lang w:val="en-AU"/>
        </w:rPr>
        <w:t xml:space="preserve"> </w:t>
      </w:r>
      <w:r>
        <w:rPr>
          <w:rFonts w:asciiTheme="minorHAnsi" w:hAnsiTheme="minorHAnsi"/>
          <w:color w:val="000000"/>
          <w:sz w:val="22"/>
          <w:szCs w:val="22"/>
          <w:lang w:val="en-AU"/>
        </w:rPr>
        <w:t>is</w:t>
      </w:r>
      <w:r w:rsidRPr="00D30699">
        <w:rPr>
          <w:rFonts w:asciiTheme="minorHAnsi" w:hAnsiTheme="minorHAnsi"/>
          <w:color w:val="000000"/>
          <w:sz w:val="22"/>
          <w:szCs w:val="22"/>
          <w:lang w:val="en-AU"/>
        </w:rPr>
        <w:t xml:space="preserve"> no longer </w:t>
      </w:r>
      <w:r w:rsidRPr="00911F33">
        <w:rPr>
          <w:rFonts w:asciiTheme="majorHAnsi" w:eastAsia="Times New Roman" w:hAnsiTheme="majorHAnsi" w:cs="Arial"/>
          <w:sz w:val="22"/>
          <w:szCs w:val="22"/>
        </w:rPr>
        <w:t>acting in accordance with the Trustee’s policies (as set out in this Statement), including those regarding ESG and engagement with investee organisations to assess and improve their medium to long-term financial and non-financial performance, the Trustee will</w:t>
      </w:r>
      <w:r w:rsidR="00E405D8">
        <w:rPr>
          <w:rFonts w:asciiTheme="majorHAnsi" w:eastAsia="Times New Roman" w:hAnsiTheme="majorHAnsi" w:cs="Arial"/>
          <w:sz w:val="22"/>
          <w:szCs w:val="22"/>
        </w:rPr>
        <w:t xml:space="preserve"> take the following steps:</w:t>
      </w:r>
    </w:p>
    <w:p w14:paraId="325AEEAC" w14:textId="77777777" w:rsidR="00423677" w:rsidRDefault="00423677" w:rsidP="00CD27E8">
      <w:pPr>
        <w:spacing w:line="280" w:lineRule="atLeast"/>
        <w:rPr>
          <w:rFonts w:asciiTheme="majorHAnsi" w:eastAsia="Times New Roman" w:hAnsiTheme="majorHAnsi" w:cs="Arial"/>
          <w:sz w:val="22"/>
          <w:szCs w:val="22"/>
        </w:rPr>
      </w:pPr>
    </w:p>
    <w:p w14:paraId="7BF571EC" w14:textId="73BA54A2" w:rsidR="00E405D8" w:rsidRPr="00E92400" w:rsidRDefault="00E405D8" w:rsidP="00E405D8">
      <w:pPr>
        <w:numPr>
          <w:ilvl w:val="0"/>
          <w:numId w:val="44"/>
        </w:numPr>
        <w:spacing w:line="280" w:lineRule="atLeast"/>
        <w:rPr>
          <w:rFonts w:asciiTheme="minorHAnsi" w:hAnsiTheme="minorHAnsi"/>
          <w:color w:val="000000"/>
          <w:sz w:val="22"/>
          <w:szCs w:val="22"/>
        </w:rPr>
      </w:pPr>
      <w:r w:rsidRPr="00D30699">
        <w:rPr>
          <w:rFonts w:asciiTheme="minorHAnsi" w:hAnsiTheme="minorHAnsi"/>
          <w:color w:val="000000"/>
          <w:sz w:val="22"/>
          <w:szCs w:val="22"/>
          <w:lang w:val="en-AU"/>
        </w:rPr>
        <w:t xml:space="preserve">engage with </w:t>
      </w:r>
      <w:r w:rsidR="00A97470">
        <w:rPr>
          <w:rFonts w:asciiTheme="minorHAnsi" w:hAnsiTheme="minorHAnsi"/>
          <w:color w:val="000000"/>
          <w:sz w:val="22"/>
          <w:szCs w:val="22"/>
          <w:lang w:val="en-AU"/>
        </w:rPr>
        <w:t>LGIM</w:t>
      </w:r>
      <w:r w:rsidRPr="00D30699">
        <w:rPr>
          <w:rFonts w:asciiTheme="minorHAnsi" w:hAnsiTheme="minorHAnsi"/>
          <w:color w:val="000000"/>
          <w:sz w:val="22"/>
          <w:szCs w:val="22"/>
          <w:lang w:val="en-AU"/>
        </w:rPr>
        <w:t xml:space="preserve"> in the first instance, in an attempt to influence its policies on ESG and stewardship; and </w:t>
      </w:r>
    </w:p>
    <w:p w14:paraId="12205E81" w14:textId="77777777" w:rsidR="00E405D8" w:rsidRPr="00D30699" w:rsidRDefault="00E405D8" w:rsidP="00E405D8">
      <w:pPr>
        <w:spacing w:line="280" w:lineRule="atLeast"/>
        <w:ind w:left="720"/>
        <w:rPr>
          <w:rFonts w:asciiTheme="minorHAnsi" w:hAnsiTheme="minorHAnsi"/>
          <w:color w:val="000000"/>
          <w:sz w:val="22"/>
          <w:szCs w:val="22"/>
        </w:rPr>
      </w:pPr>
    </w:p>
    <w:p w14:paraId="0C9313D2" w14:textId="6BD44086" w:rsidR="00E22245" w:rsidRPr="00E405D8" w:rsidRDefault="00E405D8" w:rsidP="00E405D8">
      <w:pPr>
        <w:numPr>
          <w:ilvl w:val="0"/>
          <w:numId w:val="44"/>
        </w:numPr>
        <w:spacing w:line="280" w:lineRule="atLeast"/>
        <w:rPr>
          <w:rFonts w:asciiTheme="minorHAnsi" w:hAnsiTheme="minorHAnsi"/>
          <w:color w:val="000000"/>
          <w:sz w:val="22"/>
          <w:szCs w:val="22"/>
        </w:rPr>
      </w:pPr>
      <w:r>
        <w:rPr>
          <w:rFonts w:asciiTheme="minorHAnsi" w:hAnsiTheme="minorHAnsi"/>
          <w:color w:val="000000"/>
          <w:sz w:val="22"/>
          <w:szCs w:val="22"/>
          <w:lang w:val="en-AU"/>
        </w:rPr>
        <w:t xml:space="preserve">if necessary, </w:t>
      </w:r>
      <w:r w:rsidR="00DE12EF" w:rsidRPr="00E405D8">
        <w:rPr>
          <w:rFonts w:asciiTheme="minorHAnsi" w:hAnsiTheme="minorHAnsi"/>
          <w:color w:val="000000"/>
          <w:sz w:val="22"/>
          <w:szCs w:val="22"/>
          <w:lang w:val="en-AU"/>
        </w:rPr>
        <w:t xml:space="preserve">consider </w:t>
      </w:r>
      <w:r w:rsidR="00C93AB0" w:rsidRPr="00E405D8">
        <w:rPr>
          <w:rFonts w:asciiTheme="minorHAnsi" w:hAnsiTheme="minorHAnsi"/>
          <w:color w:val="000000"/>
          <w:sz w:val="22"/>
          <w:szCs w:val="22"/>
          <w:lang w:val="en-AU"/>
        </w:rPr>
        <w:t xml:space="preserve">selecting </w:t>
      </w:r>
      <w:r w:rsidR="00DE12EF" w:rsidRPr="00E405D8">
        <w:rPr>
          <w:rFonts w:asciiTheme="minorHAnsi" w:hAnsiTheme="minorHAnsi"/>
          <w:color w:val="000000"/>
          <w:sz w:val="22"/>
          <w:szCs w:val="22"/>
          <w:lang w:val="en-AU"/>
        </w:rPr>
        <w:t xml:space="preserve">a different fund or </w:t>
      </w:r>
      <w:r w:rsidR="00E22245" w:rsidRPr="00E405D8">
        <w:rPr>
          <w:rFonts w:asciiTheme="minorHAnsi" w:hAnsiTheme="minorHAnsi"/>
          <w:color w:val="000000"/>
          <w:sz w:val="22"/>
          <w:szCs w:val="22"/>
          <w:lang w:val="en-AU"/>
        </w:rPr>
        <w:t>appoint</w:t>
      </w:r>
      <w:r w:rsidR="00C93AB0" w:rsidRPr="00E405D8">
        <w:rPr>
          <w:rFonts w:asciiTheme="minorHAnsi" w:hAnsiTheme="minorHAnsi"/>
          <w:color w:val="000000"/>
          <w:sz w:val="22"/>
          <w:szCs w:val="22"/>
          <w:lang w:val="en-AU"/>
        </w:rPr>
        <w:t>ing</w:t>
      </w:r>
      <w:r w:rsidR="00E22245" w:rsidRPr="00E405D8">
        <w:rPr>
          <w:rFonts w:asciiTheme="minorHAnsi" w:hAnsiTheme="minorHAnsi"/>
          <w:color w:val="000000"/>
          <w:sz w:val="22"/>
          <w:szCs w:val="22"/>
          <w:lang w:val="en-AU"/>
        </w:rPr>
        <w:t xml:space="preserve"> a replacement investment manager which </w:t>
      </w:r>
      <w:r w:rsidR="00DE12EF" w:rsidRPr="00E405D8">
        <w:rPr>
          <w:rFonts w:asciiTheme="minorHAnsi" w:hAnsiTheme="minorHAnsi"/>
          <w:color w:val="000000"/>
          <w:sz w:val="22"/>
          <w:szCs w:val="22"/>
          <w:lang w:val="en-AU"/>
        </w:rPr>
        <w:t>is</w:t>
      </w:r>
      <w:r w:rsidR="00E22245" w:rsidRPr="00E405D8">
        <w:rPr>
          <w:rFonts w:asciiTheme="minorHAnsi" w:hAnsiTheme="minorHAnsi"/>
          <w:color w:val="000000"/>
          <w:sz w:val="22"/>
          <w:szCs w:val="22"/>
          <w:lang w:val="en-AU"/>
        </w:rPr>
        <w:t xml:space="preserve"> more closely aligned with the Trustee’s policies and views.</w:t>
      </w:r>
    </w:p>
    <w:p w14:paraId="15EBA86A" w14:textId="77777777" w:rsidR="00E22245" w:rsidRDefault="00E22245" w:rsidP="00E22245">
      <w:pPr>
        <w:spacing w:line="280" w:lineRule="atLeast"/>
        <w:rPr>
          <w:rFonts w:asciiTheme="minorHAnsi" w:hAnsiTheme="minorHAnsi"/>
          <w:color w:val="000000"/>
          <w:sz w:val="22"/>
          <w:szCs w:val="22"/>
        </w:rPr>
      </w:pPr>
    </w:p>
    <w:p w14:paraId="0CA8B165" w14:textId="30166C94" w:rsidR="00E22245" w:rsidRDefault="00E22245" w:rsidP="00E22245">
      <w:pPr>
        <w:spacing w:line="280" w:lineRule="atLeast"/>
        <w:rPr>
          <w:rFonts w:asciiTheme="minorHAnsi" w:hAnsiTheme="minorHAnsi"/>
          <w:color w:val="000000"/>
          <w:sz w:val="22"/>
          <w:szCs w:val="22"/>
        </w:rPr>
      </w:pPr>
      <w:r w:rsidRPr="00D30699">
        <w:rPr>
          <w:rFonts w:asciiTheme="minorHAnsi" w:hAnsiTheme="minorHAnsi"/>
          <w:color w:val="000000"/>
          <w:sz w:val="22"/>
          <w:szCs w:val="22"/>
        </w:rPr>
        <w:t>Regular monitoring</w:t>
      </w:r>
      <w:r w:rsidR="0058543A">
        <w:rPr>
          <w:rFonts w:asciiTheme="minorHAnsi" w:hAnsiTheme="minorHAnsi"/>
          <w:color w:val="000000"/>
          <w:sz w:val="22"/>
          <w:szCs w:val="22"/>
        </w:rPr>
        <w:t xml:space="preserve"> of LGIM against objectives, </w:t>
      </w:r>
      <w:r w:rsidRPr="00D30699">
        <w:rPr>
          <w:rFonts w:asciiTheme="minorHAnsi" w:hAnsiTheme="minorHAnsi"/>
          <w:color w:val="000000"/>
          <w:sz w:val="22"/>
          <w:szCs w:val="22"/>
        </w:rPr>
        <w:t>with specific reference to ESG factors</w:t>
      </w:r>
      <w:r>
        <w:rPr>
          <w:rFonts w:asciiTheme="minorHAnsi" w:hAnsiTheme="minorHAnsi"/>
          <w:color w:val="000000"/>
          <w:sz w:val="22"/>
          <w:szCs w:val="22"/>
        </w:rPr>
        <w:t>,</w:t>
      </w:r>
      <w:r w:rsidRPr="00D30699">
        <w:rPr>
          <w:rFonts w:asciiTheme="minorHAnsi" w:hAnsiTheme="minorHAnsi"/>
          <w:color w:val="000000"/>
          <w:sz w:val="22"/>
          <w:szCs w:val="22"/>
        </w:rPr>
        <w:t xml:space="preserve"> should incentivise </w:t>
      </w:r>
      <w:r w:rsidR="0058543A">
        <w:rPr>
          <w:rFonts w:asciiTheme="minorHAnsi" w:hAnsiTheme="minorHAnsi"/>
          <w:color w:val="000000"/>
          <w:sz w:val="22"/>
          <w:szCs w:val="22"/>
        </w:rPr>
        <w:t xml:space="preserve">LGIM </w:t>
      </w:r>
      <w:r w:rsidRPr="00D30699">
        <w:rPr>
          <w:rFonts w:asciiTheme="minorHAnsi" w:hAnsiTheme="minorHAnsi"/>
          <w:color w:val="000000"/>
          <w:sz w:val="22"/>
          <w:szCs w:val="22"/>
        </w:rPr>
        <w:t>to assess and improve the medium to long-term performance of investee companies, both financial and non-financial</w:t>
      </w:r>
      <w:r w:rsidR="00167CF5">
        <w:rPr>
          <w:rFonts w:asciiTheme="minorHAnsi" w:hAnsiTheme="minorHAnsi"/>
          <w:color w:val="000000"/>
          <w:sz w:val="22"/>
          <w:szCs w:val="22"/>
        </w:rPr>
        <w:t>, as otherwise the Trustee will select an alternative manager.</w:t>
      </w:r>
    </w:p>
    <w:p w14:paraId="2DCE560A" w14:textId="77777777" w:rsidR="00E22245" w:rsidRDefault="00E22245" w:rsidP="00E22245">
      <w:pPr>
        <w:spacing w:line="280" w:lineRule="atLeast"/>
        <w:rPr>
          <w:rFonts w:asciiTheme="minorHAnsi" w:hAnsiTheme="minorHAnsi"/>
          <w:color w:val="000000"/>
          <w:sz w:val="22"/>
          <w:szCs w:val="22"/>
        </w:rPr>
      </w:pPr>
    </w:p>
    <w:p w14:paraId="5FC79200" w14:textId="7D876FC0" w:rsidR="00E22245" w:rsidRDefault="00E22245" w:rsidP="00E22245">
      <w:pPr>
        <w:spacing w:line="280" w:lineRule="atLeast"/>
        <w:rPr>
          <w:rFonts w:asciiTheme="minorHAnsi" w:hAnsiTheme="minorHAnsi"/>
          <w:color w:val="000000"/>
          <w:sz w:val="22"/>
          <w:szCs w:val="22"/>
          <w:lang w:val="en-AU"/>
        </w:rPr>
      </w:pPr>
      <w:r w:rsidRPr="00D30699">
        <w:rPr>
          <w:rFonts w:asciiTheme="minorHAnsi" w:hAnsiTheme="minorHAnsi"/>
          <w:color w:val="000000"/>
          <w:sz w:val="22"/>
          <w:szCs w:val="22"/>
          <w:lang w:val="en-AU"/>
        </w:rPr>
        <w:t>In addition to performance measures</w:t>
      </w:r>
      <w:r w:rsidR="00DE12EF">
        <w:rPr>
          <w:rFonts w:asciiTheme="minorHAnsi" w:hAnsiTheme="minorHAnsi"/>
          <w:color w:val="000000"/>
          <w:sz w:val="22"/>
          <w:szCs w:val="22"/>
          <w:lang w:val="en-AU"/>
        </w:rPr>
        <w:t xml:space="preserve"> as set out in Section 7 of this Statement</w:t>
      </w:r>
      <w:r w:rsidR="00C520F8">
        <w:rPr>
          <w:rFonts w:asciiTheme="minorHAnsi" w:hAnsiTheme="minorHAnsi"/>
          <w:color w:val="000000"/>
          <w:sz w:val="22"/>
          <w:szCs w:val="22"/>
          <w:lang w:val="en-AU"/>
        </w:rPr>
        <w:t>,</w:t>
      </w:r>
      <w:r>
        <w:rPr>
          <w:rFonts w:asciiTheme="minorHAnsi" w:hAnsiTheme="minorHAnsi"/>
          <w:color w:val="000000"/>
          <w:sz w:val="22"/>
          <w:szCs w:val="22"/>
          <w:lang w:val="en-AU"/>
        </w:rPr>
        <w:t xml:space="preserve"> the Trustee</w:t>
      </w:r>
      <w:r w:rsidRPr="00D30699">
        <w:rPr>
          <w:rFonts w:asciiTheme="minorHAnsi" w:hAnsiTheme="minorHAnsi"/>
          <w:color w:val="000000"/>
          <w:sz w:val="22"/>
          <w:szCs w:val="22"/>
          <w:lang w:val="en-AU"/>
        </w:rPr>
        <w:t xml:space="preserve"> will review the engagement activity of </w:t>
      </w:r>
      <w:r w:rsidR="00DE12EF">
        <w:rPr>
          <w:rFonts w:asciiTheme="minorHAnsi" w:hAnsiTheme="minorHAnsi"/>
          <w:color w:val="000000"/>
          <w:sz w:val="22"/>
          <w:szCs w:val="22"/>
          <w:lang w:val="en-AU"/>
        </w:rPr>
        <w:t xml:space="preserve">LGIM </w:t>
      </w:r>
      <w:r>
        <w:rPr>
          <w:rFonts w:asciiTheme="minorHAnsi" w:hAnsiTheme="minorHAnsi"/>
          <w:color w:val="000000"/>
          <w:sz w:val="22"/>
          <w:szCs w:val="22"/>
          <w:lang w:val="en-AU"/>
        </w:rPr>
        <w:t>on a</w:t>
      </w:r>
      <w:r w:rsidR="00F35BE9">
        <w:rPr>
          <w:rFonts w:asciiTheme="minorHAnsi" w:hAnsiTheme="minorHAnsi"/>
          <w:color w:val="000000"/>
          <w:sz w:val="22"/>
          <w:szCs w:val="22"/>
          <w:lang w:val="en-AU"/>
        </w:rPr>
        <w:t xml:space="preserve"> regular</w:t>
      </w:r>
      <w:r>
        <w:rPr>
          <w:rFonts w:asciiTheme="minorHAnsi" w:hAnsiTheme="minorHAnsi"/>
          <w:color w:val="000000"/>
          <w:sz w:val="22"/>
          <w:szCs w:val="22"/>
          <w:lang w:val="en-AU"/>
        </w:rPr>
        <w:t xml:space="preserve"> basis</w:t>
      </w:r>
      <w:r w:rsidRPr="00D30699">
        <w:rPr>
          <w:rFonts w:asciiTheme="minorHAnsi" w:hAnsiTheme="minorHAnsi"/>
          <w:color w:val="000000"/>
          <w:sz w:val="22"/>
          <w:szCs w:val="22"/>
          <w:lang w:val="en-AU"/>
        </w:rPr>
        <w:t xml:space="preserve"> to ensure that active engagement is taking place where possible to influence positive change in relation to ESG factors within investee companies</w:t>
      </w:r>
      <w:r w:rsidR="00DE12EF">
        <w:rPr>
          <w:rFonts w:asciiTheme="minorHAnsi" w:hAnsiTheme="minorHAnsi"/>
          <w:color w:val="000000"/>
          <w:sz w:val="22"/>
          <w:szCs w:val="22"/>
          <w:lang w:val="en-AU"/>
        </w:rPr>
        <w:t xml:space="preserve"> (for both the Scheme’s corporate bond and equity holdings)</w:t>
      </w:r>
      <w:r w:rsidRPr="00D30699">
        <w:rPr>
          <w:rFonts w:asciiTheme="minorHAnsi" w:hAnsiTheme="minorHAnsi"/>
          <w:color w:val="000000"/>
          <w:sz w:val="22"/>
          <w:szCs w:val="22"/>
          <w:lang w:val="en-AU"/>
        </w:rPr>
        <w:t>. T</w:t>
      </w:r>
      <w:r>
        <w:rPr>
          <w:rFonts w:asciiTheme="minorHAnsi" w:hAnsiTheme="minorHAnsi"/>
          <w:color w:val="000000"/>
          <w:sz w:val="22"/>
          <w:szCs w:val="22"/>
          <w:lang w:val="en-AU"/>
        </w:rPr>
        <w:t>he Trustee</w:t>
      </w:r>
      <w:r w:rsidRPr="00D30699">
        <w:rPr>
          <w:rFonts w:asciiTheme="minorHAnsi" w:hAnsiTheme="minorHAnsi"/>
          <w:color w:val="000000"/>
          <w:sz w:val="22"/>
          <w:szCs w:val="22"/>
          <w:lang w:val="en-AU"/>
        </w:rPr>
        <w:t xml:space="preserve"> will</w:t>
      </w:r>
      <w:r w:rsidR="00DE12EF">
        <w:rPr>
          <w:rFonts w:asciiTheme="minorHAnsi" w:hAnsiTheme="minorHAnsi"/>
          <w:color w:val="000000"/>
          <w:sz w:val="22"/>
          <w:szCs w:val="22"/>
          <w:lang w:val="en-AU"/>
        </w:rPr>
        <w:t xml:space="preserve"> </w:t>
      </w:r>
      <w:r w:rsidRPr="00D30699">
        <w:rPr>
          <w:rFonts w:asciiTheme="minorHAnsi" w:hAnsiTheme="minorHAnsi"/>
          <w:color w:val="000000"/>
          <w:sz w:val="22"/>
          <w:szCs w:val="22"/>
          <w:lang w:val="en-AU"/>
        </w:rPr>
        <w:t xml:space="preserve">monitor the </w:t>
      </w:r>
      <w:r w:rsidRPr="00D30699">
        <w:rPr>
          <w:rFonts w:asciiTheme="minorHAnsi" w:hAnsiTheme="minorHAnsi"/>
          <w:color w:val="000000"/>
          <w:sz w:val="22"/>
          <w:szCs w:val="22"/>
          <w:lang w:val="en-AU"/>
        </w:rPr>
        <w:lastRenderedPageBreak/>
        <w:t xml:space="preserve">voting activity of </w:t>
      </w:r>
      <w:r w:rsidR="00DE12EF">
        <w:rPr>
          <w:rFonts w:asciiTheme="minorHAnsi" w:hAnsiTheme="minorHAnsi"/>
          <w:color w:val="000000"/>
          <w:sz w:val="22"/>
          <w:szCs w:val="22"/>
          <w:lang w:val="en-AU"/>
        </w:rPr>
        <w:t>LGIM on the shares held within the Scheme’s equity portfolio</w:t>
      </w:r>
      <w:r w:rsidRPr="00D30699">
        <w:rPr>
          <w:rFonts w:asciiTheme="minorHAnsi" w:hAnsiTheme="minorHAnsi"/>
          <w:color w:val="000000"/>
          <w:sz w:val="22"/>
          <w:szCs w:val="22"/>
          <w:lang w:val="en-AU"/>
        </w:rPr>
        <w:t xml:space="preserve"> to ensure votes are being used and are aligned to their views. </w:t>
      </w:r>
    </w:p>
    <w:p w14:paraId="0638F813" w14:textId="77777777" w:rsidR="00E22245" w:rsidRDefault="00E22245" w:rsidP="00E22245">
      <w:pPr>
        <w:spacing w:line="280" w:lineRule="atLeast"/>
        <w:rPr>
          <w:rFonts w:asciiTheme="minorHAnsi" w:hAnsiTheme="minorHAnsi"/>
          <w:color w:val="000000"/>
          <w:sz w:val="22"/>
          <w:szCs w:val="22"/>
          <w:lang w:val="en-AU"/>
        </w:rPr>
      </w:pPr>
    </w:p>
    <w:p w14:paraId="74445E11" w14:textId="77777777" w:rsidR="00167CF5" w:rsidRDefault="00E22245" w:rsidP="00167CF5">
      <w:pPr>
        <w:spacing w:line="280" w:lineRule="atLeast"/>
        <w:rPr>
          <w:rFonts w:asciiTheme="minorHAnsi" w:hAnsiTheme="minorHAnsi"/>
          <w:color w:val="000000"/>
          <w:sz w:val="22"/>
          <w:szCs w:val="22"/>
        </w:rPr>
      </w:pPr>
      <w:r w:rsidRPr="001B3149">
        <w:rPr>
          <w:rFonts w:asciiTheme="minorHAnsi" w:hAnsiTheme="minorHAnsi"/>
          <w:color w:val="000000"/>
          <w:sz w:val="22"/>
          <w:szCs w:val="22"/>
        </w:rPr>
        <w:t>The Trustee also review</w:t>
      </w:r>
      <w:r>
        <w:rPr>
          <w:rFonts w:asciiTheme="minorHAnsi" w:hAnsiTheme="minorHAnsi"/>
          <w:color w:val="000000"/>
          <w:sz w:val="22"/>
          <w:szCs w:val="22"/>
        </w:rPr>
        <w:t>s</w:t>
      </w:r>
      <w:r w:rsidRPr="001B3149">
        <w:rPr>
          <w:rFonts w:asciiTheme="minorHAnsi" w:hAnsiTheme="minorHAnsi"/>
          <w:color w:val="000000"/>
          <w:sz w:val="22"/>
          <w:szCs w:val="22"/>
        </w:rPr>
        <w:t xml:space="preserve"> the fees charged by its investment manager</w:t>
      </w:r>
      <w:r>
        <w:rPr>
          <w:rFonts w:asciiTheme="minorHAnsi" w:hAnsiTheme="minorHAnsi"/>
          <w:color w:val="000000"/>
          <w:sz w:val="22"/>
          <w:szCs w:val="22"/>
        </w:rPr>
        <w:t>s</w:t>
      </w:r>
      <w:r w:rsidR="00C520F8">
        <w:rPr>
          <w:rFonts w:asciiTheme="minorHAnsi" w:hAnsiTheme="minorHAnsi"/>
          <w:color w:val="000000"/>
          <w:sz w:val="22"/>
          <w:szCs w:val="22"/>
        </w:rPr>
        <w:t xml:space="preserve"> on a regular</w:t>
      </w:r>
      <w:r>
        <w:rPr>
          <w:rFonts w:asciiTheme="minorHAnsi" w:hAnsiTheme="minorHAnsi"/>
          <w:color w:val="000000"/>
          <w:sz w:val="22"/>
          <w:szCs w:val="22"/>
        </w:rPr>
        <w:t xml:space="preserve"> </w:t>
      </w:r>
      <w:r w:rsidRPr="001B3149">
        <w:rPr>
          <w:rFonts w:asciiTheme="minorHAnsi" w:hAnsiTheme="minorHAnsi"/>
          <w:color w:val="000000"/>
          <w:sz w:val="22"/>
          <w:szCs w:val="22"/>
        </w:rPr>
        <w:t>basis as part of its monitoring framework to ensure fees remain reasonable in the context of the Scheme’s</w:t>
      </w:r>
      <w:r>
        <w:rPr>
          <w:rFonts w:asciiTheme="minorHAnsi" w:hAnsiTheme="minorHAnsi"/>
          <w:color w:val="000000"/>
          <w:sz w:val="22"/>
          <w:szCs w:val="22"/>
        </w:rPr>
        <w:t xml:space="preserve"> </w:t>
      </w:r>
      <w:r w:rsidRPr="001B3149">
        <w:rPr>
          <w:rFonts w:asciiTheme="minorHAnsi" w:hAnsiTheme="minorHAnsi"/>
          <w:color w:val="000000"/>
          <w:sz w:val="22"/>
          <w:szCs w:val="22"/>
        </w:rPr>
        <w:t xml:space="preserve">size and complexity. </w:t>
      </w:r>
      <w:r w:rsidR="001C11B8" w:rsidRPr="001B3149">
        <w:rPr>
          <w:rFonts w:asciiTheme="minorHAnsi" w:hAnsiTheme="minorHAnsi"/>
          <w:color w:val="000000"/>
          <w:sz w:val="22"/>
          <w:szCs w:val="22"/>
        </w:rPr>
        <w:t xml:space="preserve">By monitoring performance net of all costs, </w:t>
      </w:r>
      <w:r w:rsidR="001C11B8">
        <w:rPr>
          <w:rFonts w:asciiTheme="minorHAnsi" w:hAnsiTheme="minorHAnsi"/>
          <w:color w:val="000000"/>
          <w:sz w:val="22"/>
          <w:szCs w:val="22"/>
        </w:rPr>
        <w:t>LGIM is</w:t>
      </w:r>
      <w:r w:rsidR="001C11B8" w:rsidRPr="001B3149">
        <w:rPr>
          <w:rFonts w:asciiTheme="minorHAnsi" w:hAnsiTheme="minorHAnsi"/>
          <w:color w:val="000000"/>
          <w:sz w:val="22"/>
          <w:szCs w:val="22"/>
        </w:rPr>
        <w:t xml:space="preserve"> incentivised to consider the impact of portfolio turnover on investment performance.</w:t>
      </w:r>
      <w:r w:rsidR="00167CF5">
        <w:rPr>
          <w:rFonts w:asciiTheme="minorHAnsi" w:hAnsiTheme="minorHAnsi"/>
          <w:color w:val="000000"/>
          <w:sz w:val="22"/>
          <w:szCs w:val="22"/>
        </w:rPr>
        <w:t xml:space="preserve"> </w:t>
      </w:r>
      <w:r w:rsidR="00167CF5" w:rsidRPr="00D30699">
        <w:rPr>
          <w:rFonts w:asciiTheme="minorHAnsi" w:hAnsiTheme="minorHAnsi"/>
          <w:color w:val="000000"/>
          <w:sz w:val="22"/>
          <w:szCs w:val="22"/>
        </w:rPr>
        <w:t>The remuneration of the investment manager</w:t>
      </w:r>
      <w:r w:rsidR="00167CF5">
        <w:rPr>
          <w:rFonts w:asciiTheme="minorHAnsi" w:hAnsiTheme="minorHAnsi"/>
          <w:color w:val="000000"/>
          <w:sz w:val="22"/>
          <w:szCs w:val="22"/>
        </w:rPr>
        <w:t>s</w:t>
      </w:r>
      <w:r w:rsidR="00167CF5" w:rsidRPr="00D30699">
        <w:rPr>
          <w:rFonts w:asciiTheme="minorHAnsi" w:hAnsiTheme="minorHAnsi"/>
          <w:color w:val="000000"/>
          <w:sz w:val="22"/>
          <w:szCs w:val="22"/>
        </w:rPr>
        <w:t xml:space="preserve"> is not directly linked to performance</w:t>
      </w:r>
      <w:r w:rsidR="00167CF5">
        <w:rPr>
          <w:rFonts w:asciiTheme="minorHAnsi" w:hAnsiTheme="minorHAnsi"/>
          <w:color w:val="000000"/>
          <w:sz w:val="22"/>
          <w:szCs w:val="22"/>
        </w:rPr>
        <w:t xml:space="preserve"> or to ESG factors</w:t>
      </w:r>
      <w:r w:rsidR="00167CF5" w:rsidRPr="00D30699">
        <w:rPr>
          <w:rFonts w:asciiTheme="minorHAnsi" w:hAnsiTheme="minorHAnsi"/>
          <w:color w:val="000000"/>
          <w:sz w:val="22"/>
          <w:szCs w:val="22"/>
        </w:rPr>
        <w:t xml:space="preserve">, given the absence of performance related fees. </w:t>
      </w:r>
    </w:p>
    <w:p w14:paraId="52919DDC" w14:textId="485A09BF" w:rsidR="00E22245" w:rsidRPr="001B3149" w:rsidRDefault="00E22245" w:rsidP="00E22245">
      <w:pPr>
        <w:spacing w:line="280" w:lineRule="atLeast"/>
        <w:rPr>
          <w:rFonts w:asciiTheme="minorHAnsi" w:hAnsiTheme="minorHAnsi"/>
          <w:color w:val="000000"/>
          <w:sz w:val="22"/>
          <w:szCs w:val="22"/>
        </w:rPr>
      </w:pPr>
    </w:p>
    <w:p w14:paraId="3FFB3D8C" w14:textId="5B3BC0B5" w:rsidR="00E22245" w:rsidRPr="001B3149" w:rsidRDefault="00E22245" w:rsidP="00E22245">
      <w:pPr>
        <w:spacing w:line="280" w:lineRule="atLeast"/>
        <w:rPr>
          <w:rFonts w:asciiTheme="minorHAnsi" w:hAnsiTheme="minorHAnsi"/>
          <w:color w:val="000000"/>
          <w:sz w:val="22"/>
          <w:szCs w:val="22"/>
        </w:rPr>
      </w:pPr>
      <w:r>
        <w:rPr>
          <w:rFonts w:asciiTheme="minorHAnsi" w:hAnsiTheme="minorHAnsi"/>
          <w:color w:val="000000"/>
          <w:sz w:val="22"/>
          <w:szCs w:val="22"/>
        </w:rPr>
        <w:t>The Trustee</w:t>
      </w:r>
      <w:r w:rsidR="001C11B8">
        <w:rPr>
          <w:rFonts w:asciiTheme="minorHAnsi" w:hAnsiTheme="minorHAnsi"/>
          <w:color w:val="000000"/>
          <w:sz w:val="22"/>
          <w:szCs w:val="22"/>
        </w:rPr>
        <w:t>’s policy is not to monitor portfolio turnover costs</w:t>
      </w:r>
      <w:r w:rsidR="00167CF5">
        <w:rPr>
          <w:rFonts w:asciiTheme="minorHAnsi" w:hAnsiTheme="minorHAnsi"/>
          <w:color w:val="000000"/>
          <w:sz w:val="22"/>
          <w:szCs w:val="22"/>
        </w:rPr>
        <w:t xml:space="preserve"> for each mandate</w:t>
      </w:r>
      <w:r w:rsidR="001C11B8">
        <w:rPr>
          <w:rFonts w:asciiTheme="minorHAnsi" w:hAnsiTheme="minorHAnsi"/>
          <w:color w:val="000000"/>
          <w:sz w:val="22"/>
          <w:szCs w:val="22"/>
        </w:rPr>
        <w:t xml:space="preserve"> as it feels that given the nature of the mandates this will not be a material consideration for the Scheme. The Scheme holds a buy and </w:t>
      </w:r>
      <w:r w:rsidR="00423677">
        <w:rPr>
          <w:rFonts w:asciiTheme="minorHAnsi" w:hAnsiTheme="minorHAnsi"/>
          <w:color w:val="000000"/>
          <w:sz w:val="22"/>
          <w:szCs w:val="22"/>
        </w:rPr>
        <w:t xml:space="preserve">maintain </w:t>
      </w:r>
      <w:r w:rsidR="001C11B8">
        <w:rPr>
          <w:rFonts w:asciiTheme="minorHAnsi" w:hAnsiTheme="minorHAnsi"/>
          <w:color w:val="000000"/>
          <w:sz w:val="22"/>
          <w:szCs w:val="22"/>
        </w:rPr>
        <w:t>credit mandate where turnover is expected to be low.</w:t>
      </w:r>
      <w:r>
        <w:rPr>
          <w:rFonts w:asciiTheme="minorHAnsi" w:hAnsiTheme="minorHAnsi"/>
          <w:color w:val="000000"/>
          <w:sz w:val="22"/>
          <w:szCs w:val="22"/>
        </w:rPr>
        <w:t xml:space="preserve"> </w:t>
      </w:r>
      <w:r w:rsidR="001C11B8">
        <w:rPr>
          <w:rFonts w:asciiTheme="minorHAnsi" w:hAnsiTheme="minorHAnsi"/>
          <w:color w:val="000000"/>
          <w:sz w:val="22"/>
          <w:szCs w:val="22"/>
        </w:rPr>
        <w:t xml:space="preserve">The Scheme’s </w:t>
      </w:r>
      <w:r w:rsidR="00423677">
        <w:rPr>
          <w:rFonts w:asciiTheme="minorHAnsi" w:hAnsiTheme="minorHAnsi"/>
          <w:color w:val="000000"/>
          <w:sz w:val="22"/>
          <w:szCs w:val="22"/>
        </w:rPr>
        <w:t>ESG-tilted global</w:t>
      </w:r>
      <w:r w:rsidR="001C11B8">
        <w:rPr>
          <w:rFonts w:asciiTheme="minorHAnsi" w:hAnsiTheme="minorHAnsi"/>
          <w:color w:val="000000"/>
          <w:sz w:val="22"/>
          <w:szCs w:val="22"/>
        </w:rPr>
        <w:t xml:space="preserve"> equity </w:t>
      </w:r>
      <w:r w:rsidR="00423677">
        <w:rPr>
          <w:rFonts w:asciiTheme="minorHAnsi" w:hAnsiTheme="minorHAnsi"/>
          <w:color w:val="000000"/>
          <w:sz w:val="22"/>
          <w:szCs w:val="22"/>
        </w:rPr>
        <w:t xml:space="preserve">investment </w:t>
      </w:r>
      <w:r w:rsidR="001C11B8">
        <w:rPr>
          <w:rFonts w:asciiTheme="minorHAnsi" w:hAnsiTheme="minorHAnsi"/>
          <w:color w:val="000000"/>
          <w:sz w:val="22"/>
          <w:szCs w:val="22"/>
        </w:rPr>
        <w:t xml:space="preserve">has the objective to </w:t>
      </w:r>
      <w:r w:rsidR="00423677">
        <w:rPr>
          <w:rFonts w:asciiTheme="minorHAnsi" w:hAnsiTheme="minorHAnsi"/>
          <w:color w:val="000000"/>
          <w:sz w:val="22"/>
          <w:szCs w:val="22"/>
        </w:rPr>
        <w:t>invest in an ESG-tilted manner within a certain tracking error of its benchmark index</w:t>
      </w:r>
      <w:r w:rsidR="001C11B8">
        <w:rPr>
          <w:rFonts w:asciiTheme="minorHAnsi" w:hAnsiTheme="minorHAnsi"/>
          <w:color w:val="000000"/>
          <w:sz w:val="22"/>
          <w:szCs w:val="22"/>
        </w:rPr>
        <w:t xml:space="preserve"> which</w:t>
      </w:r>
      <w:r>
        <w:rPr>
          <w:rFonts w:asciiTheme="minorHAnsi" w:hAnsiTheme="minorHAnsi"/>
          <w:color w:val="000000"/>
          <w:sz w:val="22"/>
          <w:szCs w:val="22"/>
        </w:rPr>
        <w:t xml:space="preserve"> </w:t>
      </w:r>
      <w:r w:rsidR="00423677">
        <w:rPr>
          <w:rFonts w:asciiTheme="minorHAnsi" w:hAnsiTheme="minorHAnsi"/>
          <w:color w:val="000000"/>
          <w:sz w:val="22"/>
          <w:szCs w:val="22"/>
        </w:rPr>
        <w:t xml:space="preserve">therefore </w:t>
      </w:r>
      <w:r w:rsidRPr="001B3149">
        <w:rPr>
          <w:rFonts w:asciiTheme="minorHAnsi" w:hAnsiTheme="minorHAnsi"/>
          <w:color w:val="000000"/>
          <w:sz w:val="22"/>
          <w:szCs w:val="22"/>
        </w:rPr>
        <w:t>require</w:t>
      </w:r>
      <w:r w:rsidR="001C11B8">
        <w:rPr>
          <w:rFonts w:asciiTheme="minorHAnsi" w:hAnsiTheme="minorHAnsi"/>
          <w:color w:val="000000"/>
          <w:sz w:val="22"/>
          <w:szCs w:val="22"/>
        </w:rPr>
        <w:t>s</w:t>
      </w:r>
      <w:r w:rsidRPr="001B3149">
        <w:rPr>
          <w:rFonts w:asciiTheme="minorHAnsi" w:hAnsiTheme="minorHAnsi"/>
          <w:color w:val="000000"/>
          <w:sz w:val="22"/>
          <w:szCs w:val="22"/>
        </w:rPr>
        <w:t xml:space="preserve"> assets to be bought and sold when </w:t>
      </w:r>
      <w:r w:rsidR="00423677">
        <w:rPr>
          <w:rFonts w:asciiTheme="minorHAnsi" w:hAnsiTheme="minorHAnsi"/>
          <w:color w:val="000000"/>
          <w:sz w:val="22"/>
          <w:szCs w:val="22"/>
        </w:rPr>
        <w:t xml:space="preserve">LGIM considers it necessary to make </w:t>
      </w:r>
      <w:r w:rsidR="00AD15AB">
        <w:rPr>
          <w:rFonts w:asciiTheme="minorHAnsi" w:hAnsiTheme="minorHAnsi"/>
          <w:color w:val="000000"/>
          <w:sz w:val="22"/>
          <w:szCs w:val="22"/>
        </w:rPr>
        <w:t xml:space="preserve">changes </w:t>
      </w:r>
      <w:r w:rsidR="00423677">
        <w:rPr>
          <w:rFonts w:asciiTheme="minorHAnsi" w:hAnsiTheme="minorHAnsi"/>
          <w:color w:val="000000"/>
          <w:sz w:val="22"/>
          <w:szCs w:val="22"/>
        </w:rPr>
        <w:t xml:space="preserve">or when the </w:t>
      </w:r>
      <w:r w:rsidRPr="001B3149">
        <w:rPr>
          <w:rFonts w:asciiTheme="minorHAnsi" w:hAnsiTheme="minorHAnsi"/>
          <w:color w:val="000000"/>
          <w:sz w:val="22"/>
          <w:szCs w:val="22"/>
        </w:rPr>
        <w:t xml:space="preserve">constituents of the underlying </w:t>
      </w:r>
      <w:r w:rsidR="00423677">
        <w:rPr>
          <w:rFonts w:asciiTheme="minorHAnsi" w:hAnsiTheme="minorHAnsi"/>
          <w:color w:val="000000"/>
          <w:sz w:val="22"/>
          <w:szCs w:val="22"/>
        </w:rPr>
        <w:t xml:space="preserve">benchmark </w:t>
      </w:r>
      <w:r w:rsidRPr="001B3149">
        <w:rPr>
          <w:rFonts w:asciiTheme="minorHAnsi" w:hAnsiTheme="minorHAnsi"/>
          <w:color w:val="000000"/>
          <w:sz w:val="22"/>
          <w:szCs w:val="22"/>
        </w:rPr>
        <w:t>index change</w:t>
      </w:r>
      <w:r w:rsidR="00423677">
        <w:rPr>
          <w:rFonts w:asciiTheme="minorHAnsi" w:hAnsiTheme="minorHAnsi"/>
          <w:color w:val="000000"/>
          <w:sz w:val="22"/>
          <w:szCs w:val="22"/>
        </w:rPr>
        <w:t xml:space="preserve"> significantly</w:t>
      </w:r>
      <w:r w:rsidRPr="001B3149">
        <w:rPr>
          <w:rFonts w:asciiTheme="minorHAnsi" w:hAnsiTheme="minorHAnsi"/>
          <w:color w:val="000000"/>
          <w:sz w:val="22"/>
          <w:szCs w:val="22"/>
        </w:rPr>
        <w:t>.</w:t>
      </w:r>
      <w:r w:rsidR="00F35BE9">
        <w:rPr>
          <w:rFonts w:asciiTheme="minorHAnsi" w:hAnsiTheme="minorHAnsi"/>
          <w:color w:val="000000"/>
          <w:sz w:val="22"/>
          <w:szCs w:val="22"/>
        </w:rPr>
        <w:t xml:space="preserve"> These sales and purchases are inherent </w:t>
      </w:r>
      <w:r w:rsidR="00423677">
        <w:rPr>
          <w:rFonts w:asciiTheme="minorHAnsi" w:hAnsiTheme="minorHAnsi"/>
          <w:color w:val="000000"/>
          <w:sz w:val="22"/>
          <w:szCs w:val="22"/>
        </w:rPr>
        <w:t xml:space="preserve">for the operation of </w:t>
      </w:r>
      <w:r w:rsidR="00F35BE9">
        <w:rPr>
          <w:rFonts w:asciiTheme="minorHAnsi" w:hAnsiTheme="minorHAnsi"/>
          <w:color w:val="000000"/>
          <w:sz w:val="22"/>
          <w:szCs w:val="22"/>
        </w:rPr>
        <w:t>the nature of the mandate.</w:t>
      </w:r>
    </w:p>
    <w:p w14:paraId="6521752E" w14:textId="7BD8C4B5" w:rsidR="00423677" w:rsidRDefault="00423677">
      <w:pPr>
        <w:rPr>
          <w:rFonts w:asciiTheme="majorHAnsi" w:eastAsia="Times New Roman" w:hAnsiTheme="majorHAnsi" w:cs="Arial"/>
          <w:sz w:val="22"/>
          <w:szCs w:val="22"/>
          <w:highlight w:val="yellow"/>
        </w:rPr>
      </w:pPr>
      <w:r>
        <w:rPr>
          <w:rFonts w:asciiTheme="majorHAnsi" w:eastAsia="Times New Roman" w:hAnsiTheme="majorHAnsi" w:cs="Arial"/>
          <w:sz w:val="22"/>
          <w:szCs w:val="22"/>
          <w:highlight w:val="yellow"/>
        </w:rPr>
        <w:br w:type="page"/>
      </w:r>
    </w:p>
    <w:p w14:paraId="2681F698" w14:textId="77777777" w:rsidR="00DE754B" w:rsidRPr="00DE754B" w:rsidRDefault="00DE754B" w:rsidP="00D014A7">
      <w:pPr>
        <w:pStyle w:val="Heading1"/>
        <w:numPr>
          <w:ilvl w:val="0"/>
          <w:numId w:val="15"/>
        </w:numPr>
        <w:rPr>
          <w:b/>
          <w:color w:val="62B5E5" w:themeColor="accent3"/>
          <w:sz w:val="24"/>
          <w:szCs w:val="24"/>
          <w:lang w:val="en-US"/>
        </w:rPr>
      </w:pPr>
      <w:bookmarkStart w:id="126" w:name="_Toc93664327"/>
      <w:bookmarkStart w:id="127" w:name="_Toc43378561"/>
      <w:bookmarkStart w:id="128" w:name="_Toc43378625"/>
      <w:bookmarkStart w:id="129" w:name="_Toc29549400"/>
      <w:bookmarkStart w:id="130" w:name="_Toc29549489"/>
      <w:bookmarkStart w:id="131" w:name="_Toc29549401"/>
      <w:bookmarkStart w:id="132" w:name="_Toc29549490"/>
      <w:bookmarkStart w:id="133" w:name="_Toc29549402"/>
      <w:bookmarkStart w:id="134" w:name="_Toc29549491"/>
      <w:bookmarkStart w:id="135" w:name="_Toc29549403"/>
      <w:bookmarkStart w:id="136" w:name="_Toc29549492"/>
      <w:bookmarkStart w:id="137" w:name="_Toc29549404"/>
      <w:bookmarkStart w:id="138" w:name="_Toc29549493"/>
      <w:bookmarkStart w:id="139" w:name="_Toc29549405"/>
      <w:bookmarkStart w:id="140" w:name="_Toc29549494"/>
      <w:bookmarkStart w:id="141" w:name="_Toc29549406"/>
      <w:bookmarkStart w:id="142" w:name="_Toc29549495"/>
      <w:bookmarkStart w:id="143" w:name="_Toc29549407"/>
      <w:bookmarkStart w:id="144" w:name="_Toc29549496"/>
      <w:bookmarkStart w:id="145" w:name="_Toc29549408"/>
      <w:bookmarkStart w:id="146" w:name="_Toc29549497"/>
      <w:bookmarkStart w:id="147" w:name="_Toc29549409"/>
      <w:bookmarkStart w:id="148" w:name="_Toc29549498"/>
      <w:bookmarkStart w:id="149" w:name="_Toc29549410"/>
      <w:bookmarkStart w:id="150" w:name="_Toc29549499"/>
      <w:bookmarkStart w:id="151" w:name="_Toc29549411"/>
      <w:bookmarkStart w:id="152" w:name="_Toc29549500"/>
      <w:bookmarkStart w:id="153" w:name="_Toc29549412"/>
      <w:bookmarkStart w:id="154" w:name="_Toc29549501"/>
      <w:bookmarkStart w:id="155" w:name="_Toc9366490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DE754B">
        <w:rPr>
          <w:b/>
          <w:color w:val="62B5E5" w:themeColor="accent3"/>
          <w:sz w:val="24"/>
          <w:szCs w:val="24"/>
          <w:lang w:val="en-US"/>
        </w:rPr>
        <w:lastRenderedPageBreak/>
        <w:t>Compliance with this Statement</w:t>
      </w:r>
      <w:bookmarkEnd w:id="155"/>
    </w:p>
    <w:p w14:paraId="62DDEB20" w14:textId="77777777" w:rsidR="00DE754B" w:rsidRPr="00DE754B"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p>
    <w:p w14:paraId="76921685" w14:textId="19BF1F06" w:rsidR="00DE754B" w:rsidRPr="00DE754B" w:rsidRDefault="00DE754B" w:rsidP="00DE754B">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sidRPr="00DE754B">
        <w:rPr>
          <w:rFonts w:asciiTheme="majorHAnsi" w:eastAsia="Times New Roman" w:hAnsiTheme="majorHAnsi" w:cs="Arial"/>
          <w:sz w:val="22"/>
          <w:szCs w:val="22"/>
        </w:rPr>
        <w:t xml:space="preserve">In accordance with legislation, the </w:t>
      </w:r>
      <w:r w:rsidR="00D158B5">
        <w:rPr>
          <w:rFonts w:asciiTheme="majorHAnsi" w:eastAsia="Times New Roman" w:hAnsiTheme="majorHAnsi" w:cs="Arial"/>
          <w:sz w:val="22"/>
          <w:szCs w:val="22"/>
        </w:rPr>
        <w:t>Trustee</w:t>
      </w:r>
      <w:r w:rsidRPr="00DE754B">
        <w:rPr>
          <w:rFonts w:asciiTheme="majorHAnsi" w:eastAsia="Times New Roman" w:hAnsiTheme="majorHAnsi" w:cs="Arial"/>
          <w:sz w:val="22"/>
          <w:szCs w:val="22"/>
        </w:rPr>
        <w:t xml:space="preserve"> will monitor compliance with this Statement on a regular basis</w:t>
      </w:r>
      <w:r w:rsidR="00C520F8">
        <w:rPr>
          <w:rFonts w:asciiTheme="majorHAnsi" w:eastAsia="Times New Roman" w:hAnsiTheme="majorHAnsi" w:cs="Arial"/>
          <w:sz w:val="22"/>
          <w:szCs w:val="22"/>
        </w:rPr>
        <w:t>.</w:t>
      </w:r>
      <w:r w:rsidRPr="00DE754B">
        <w:rPr>
          <w:rFonts w:asciiTheme="majorHAnsi" w:eastAsia="Times New Roman" w:hAnsiTheme="majorHAnsi" w:cs="Arial"/>
          <w:sz w:val="22"/>
          <w:szCs w:val="22"/>
        </w:rPr>
        <w:t xml:space="preserve"> </w:t>
      </w:r>
      <w:r w:rsidR="00C520F8">
        <w:rPr>
          <w:rFonts w:asciiTheme="majorHAnsi" w:eastAsia="Times New Roman" w:hAnsiTheme="majorHAnsi" w:cs="Arial"/>
          <w:sz w:val="22"/>
          <w:szCs w:val="22"/>
        </w:rPr>
        <w:t>The Trustee</w:t>
      </w:r>
      <w:r w:rsidRPr="00DE754B">
        <w:rPr>
          <w:rFonts w:asciiTheme="majorHAnsi" w:eastAsia="Times New Roman" w:hAnsiTheme="majorHAnsi" w:cs="Arial"/>
          <w:sz w:val="22"/>
          <w:szCs w:val="22"/>
        </w:rPr>
        <w:t xml:space="preserve"> will review the Statement</w:t>
      </w:r>
      <w:r w:rsidR="00C520F8">
        <w:rPr>
          <w:rFonts w:asciiTheme="majorHAnsi" w:eastAsia="Times New Roman" w:hAnsiTheme="majorHAnsi" w:cs="Arial"/>
          <w:sz w:val="22"/>
          <w:szCs w:val="22"/>
        </w:rPr>
        <w:t xml:space="preserve"> at least every three years and</w:t>
      </w:r>
      <w:r w:rsidRPr="00DE754B">
        <w:rPr>
          <w:rFonts w:asciiTheme="majorHAnsi" w:eastAsia="Times New Roman" w:hAnsiTheme="majorHAnsi" w:cs="Arial"/>
          <w:sz w:val="22"/>
          <w:szCs w:val="22"/>
        </w:rPr>
        <w:t xml:space="preserve"> in response to any material change to any aspects of the </w:t>
      </w:r>
      <w:r w:rsidR="00E2203F">
        <w:rPr>
          <w:rFonts w:asciiTheme="majorHAnsi" w:eastAsia="Times New Roman" w:hAnsiTheme="majorHAnsi" w:cs="Arial"/>
          <w:sz w:val="22"/>
          <w:szCs w:val="22"/>
        </w:rPr>
        <w:t>Scheme</w:t>
      </w:r>
      <w:r w:rsidRPr="00DE754B">
        <w:rPr>
          <w:rFonts w:asciiTheme="majorHAnsi" w:eastAsia="Times New Roman" w:hAnsiTheme="majorHAnsi" w:cs="Arial"/>
          <w:sz w:val="22"/>
          <w:szCs w:val="22"/>
        </w:rPr>
        <w:t xml:space="preserve">, its liabilities, finances and the attitude to risk of the </w:t>
      </w:r>
      <w:r w:rsidR="00D158B5">
        <w:rPr>
          <w:rFonts w:asciiTheme="majorHAnsi" w:eastAsia="Times New Roman" w:hAnsiTheme="majorHAnsi" w:cs="Arial"/>
          <w:sz w:val="22"/>
          <w:szCs w:val="22"/>
        </w:rPr>
        <w:t>Trustee</w:t>
      </w:r>
      <w:r w:rsidRPr="00DE754B">
        <w:rPr>
          <w:rFonts w:asciiTheme="majorHAnsi" w:eastAsia="Times New Roman" w:hAnsiTheme="majorHAnsi" w:cs="Arial"/>
          <w:sz w:val="22"/>
          <w:szCs w:val="22"/>
        </w:rPr>
        <w:t xml:space="preserve"> and </w:t>
      </w:r>
      <w:r w:rsidR="00884830" w:rsidRPr="00DE754B">
        <w:rPr>
          <w:rFonts w:asciiTheme="majorHAnsi" w:eastAsia="Times New Roman" w:hAnsiTheme="majorHAnsi" w:cs="Arial"/>
          <w:sz w:val="22"/>
          <w:szCs w:val="22"/>
        </w:rPr>
        <w:t>Sponsor, which</w:t>
      </w:r>
      <w:r w:rsidRPr="00DE754B">
        <w:rPr>
          <w:rFonts w:asciiTheme="majorHAnsi" w:eastAsia="Times New Roman" w:hAnsiTheme="majorHAnsi" w:cs="Arial"/>
          <w:sz w:val="22"/>
          <w:szCs w:val="22"/>
        </w:rPr>
        <w:t xml:space="preserve"> they judge to have a bearing on the stated policy. </w:t>
      </w:r>
    </w:p>
    <w:p w14:paraId="29BA4A04" w14:textId="77777777" w:rsidR="00AE21F7" w:rsidRDefault="00AE21F7" w:rsidP="00AE21F7">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noProof/>
        </w:rPr>
      </w:pPr>
      <w:r>
        <w:rPr>
          <w:noProof/>
        </w:rPr>
        <w:drawing>
          <wp:inline distT="0" distB="0" distL="0" distR="0" wp14:anchorId="21F784C0" wp14:editId="2FAC734C">
            <wp:extent cx="2286000" cy="1120782"/>
            <wp:effectExtent l="0" t="0" r="0" b="3175"/>
            <wp:docPr id="4" name="Picture 4"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en&#10;&#10;Description automatically generated with low confidence"/>
                    <pic:cNvPicPr/>
                  </pic:nvPicPr>
                  <pic:blipFill>
                    <a:blip r:embed="rId8"/>
                    <a:stretch>
                      <a:fillRect/>
                    </a:stretch>
                  </pic:blipFill>
                  <pic:spPr>
                    <a:xfrm>
                      <a:off x="0" y="0"/>
                      <a:ext cx="2291256" cy="1123359"/>
                    </a:xfrm>
                    <a:prstGeom prst="rect">
                      <a:avLst/>
                    </a:prstGeom>
                  </pic:spPr>
                </pic:pic>
              </a:graphicData>
            </a:graphic>
          </wp:inline>
        </w:drawing>
      </w:r>
    </w:p>
    <w:p w14:paraId="6BD9BF1F" w14:textId="683B2BA6" w:rsidR="00AE21F7" w:rsidRDefault="00AE21F7" w:rsidP="00AE21F7">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b/>
          <w:sz w:val="22"/>
          <w:szCs w:val="22"/>
        </w:rPr>
      </w:pPr>
      <w:r>
        <w:rPr>
          <w:noProof/>
        </w:rPr>
        <w:t xml:space="preserve">                                                        </w:t>
      </w:r>
    </w:p>
    <w:p w14:paraId="70F3FE51" w14:textId="60D162A5" w:rsidR="00AE21F7" w:rsidRPr="00DE754B" w:rsidRDefault="001A7DD0" w:rsidP="00AE21F7">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sz w:val="22"/>
          <w:szCs w:val="22"/>
        </w:rPr>
      </w:pPr>
      <w:r>
        <w:rPr>
          <w:b/>
          <w:bCs/>
          <w:sz w:val="22"/>
          <w:szCs w:val="22"/>
        </w:rPr>
        <w:t xml:space="preserve">Signed by the Trustee of the Galderma (UK) Limited Section of the Deloitte Pensions Master Plan on </w:t>
      </w:r>
      <w:r>
        <w:rPr>
          <w:b/>
          <w:bCs/>
          <w:sz w:val="22"/>
          <w:szCs w:val="22"/>
        </w:rPr>
        <w:t>14 February 2022</w:t>
      </w:r>
    </w:p>
    <w:p w14:paraId="5B706DF9" w14:textId="77777777" w:rsidR="00AE21F7" w:rsidRDefault="00AE21F7" w:rsidP="00AE21F7">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b/>
          <w:sz w:val="22"/>
          <w:szCs w:val="22"/>
        </w:rPr>
      </w:pPr>
    </w:p>
    <w:p w14:paraId="0F2936D1" w14:textId="77777777" w:rsidR="00AE21F7" w:rsidRDefault="00AE21F7" w:rsidP="00AE21F7">
      <w:pPr>
        <w:tabs>
          <w:tab w:val="left" w:pos="864"/>
          <w:tab w:val="left" w:pos="1152"/>
          <w:tab w:val="left" w:pos="1728"/>
          <w:tab w:val="left" w:pos="7776"/>
          <w:tab w:val="left" w:pos="8640"/>
        </w:tabs>
        <w:overflowPunct w:val="0"/>
        <w:autoSpaceDE w:val="0"/>
        <w:autoSpaceDN w:val="0"/>
        <w:adjustRightInd w:val="0"/>
        <w:spacing w:line="240" w:lineRule="exact"/>
        <w:ind w:right="144"/>
        <w:textAlignment w:val="baseline"/>
        <w:rPr>
          <w:rFonts w:asciiTheme="majorHAnsi" w:eastAsia="Times New Roman" w:hAnsiTheme="majorHAnsi" w:cs="Arial"/>
          <w:b/>
          <w:sz w:val="22"/>
          <w:szCs w:val="22"/>
        </w:rPr>
      </w:pPr>
    </w:p>
    <w:p w14:paraId="3B28A966" w14:textId="77777777" w:rsidR="00AE21F7" w:rsidRPr="00F30E61" w:rsidRDefault="00AE21F7" w:rsidP="00AE21F7">
      <w:pPr>
        <w:autoSpaceDE w:val="0"/>
        <w:autoSpaceDN w:val="0"/>
        <w:adjustRightInd w:val="0"/>
        <w:spacing w:line="240" w:lineRule="atLeast"/>
        <w:rPr>
          <w:rFonts w:ascii="Verdana" w:hAnsi="Verdana"/>
          <w:sz w:val="18"/>
          <w:szCs w:val="18"/>
          <w:lang w:val="en-US"/>
        </w:rPr>
      </w:pPr>
    </w:p>
    <w:p w14:paraId="1876AB84" w14:textId="77777777" w:rsidR="0074357F" w:rsidRPr="00F30E61" w:rsidRDefault="0074357F" w:rsidP="00517B0F">
      <w:pPr>
        <w:autoSpaceDE w:val="0"/>
        <w:autoSpaceDN w:val="0"/>
        <w:adjustRightInd w:val="0"/>
        <w:spacing w:line="240" w:lineRule="atLeast"/>
        <w:rPr>
          <w:rFonts w:ascii="Verdana" w:hAnsi="Verdana"/>
          <w:sz w:val="18"/>
          <w:szCs w:val="18"/>
          <w:lang w:val="en-US"/>
        </w:rPr>
      </w:pPr>
    </w:p>
    <w:sectPr w:rsidR="0074357F" w:rsidRPr="00F30E61" w:rsidSect="00CE1D0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9" w:h="16834" w:code="9"/>
      <w:pgMar w:top="1140" w:right="1412" w:bottom="1140" w:left="1412" w:header="720" w:footer="720" w:gutter="0"/>
      <w:paperSrc w:first="2" w:other="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D7B0" w14:textId="77777777" w:rsidR="00AE446B" w:rsidRDefault="00AE446B" w:rsidP="00723663">
      <w:r>
        <w:separator/>
      </w:r>
    </w:p>
  </w:endnote>
  <w:endnote w:type="continuationSeparator" w:id="0">
    <w:p w14:paraId="2D5AF834" w14:textId="77777777" w:rsidR="00AE446B" w:rsidRDefault="00AE446B"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4A9F" w14:textId="77777777" w:rsidR="00423677" w:rsidRDefault="00423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987131"/>
      <w:docPartObj>
        <w:docPartGallery w:val="Page Numbers (Bottom of Page)"/>
        <w:docPartUnique/>
      </w:docPartObj>
    </w:sdtPr>
    <w:sdtEndPr>
      <w:rPr>
        <w:noProof/>
      </w:rPr>
    </w:sdtEndPr>
    <w:sdtContent>
      <w:p w14:paraId="38549F8B" w14:textId="06852E16" w:rsidR="00AE446B" w:rsidRDefault="00AE446B">
        <w:pPr>
          <w:pStyle w:val="Footer"/>
          <w:jc w:val="right"/>
        </w:pPr>
        <w:r>
          <w:fldChar w:fldCharType="begin"/>
        </w:r>
        <w:r>
          <w:instrText xml:space="preserve"> PAGE   \* MERGEFORMAT </w:instrText>
        </w:r>
        <w:r>
          <w:fldChar w:fldCharType="separate"/>
        </w:r>
        <w:r w:rsidR="00DF4C79">
          <w:rPr>
            <w:noProof/>
          </w:rPr>
          <w:t>5</w:t>
        </w:r>
        <w:r>
          <w:rPr>
            <w:noProof/>
          </w:rPr>
          <w:fldChar w:fldCharType="end"/>
        </w:r>
      </w:p>
    </w:sdtContent>
  </w:sdt>
  <w:p w14:paraId="1CA91FEE" w14:textId="77777777" w:rsidR="00AE446B" w:rsidRPr="005B7AD0" w:rsidRDefault="00AE446B" w:rsidP="00A37942">
    <w:pPr>
      <w:pStyle w:val="Footer"/>
      <w:jc w:val="center"/>
      <w:rPr>
        <w:rFonts w:ascii="Arial" w:hAnsi="Arial"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A196" w14:textId="77777777" w:rsidR="00423677" w:rsidRDefault="0042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0D9D" w14:textId="77777777" w:rsidR="00AE446B" w:rsidRDefault="00AE446B" w:rsidP="00723663">
      <w:r>
        <w:separator/>
      </w:r>
    </w:p>
  </w:footnote>
  <w:footnote w:type="continuationSeparator" w:id="0">
    <w:p w14:paraId="4AD7A5A0" w14:textId="77777777" w:rsidR="00AE446B" w:rsidRDefault="00AE446B"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C429" w14:textId="77777777" w:rsidR="00423677" w:rsidRDefault="00423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FEF" w14:textId="77777777" w:rsidR="00423677" w:rsidRDefault="00423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3AF6" w14:textId="77777777" w:rsidR="00423677" w:rsidRDefault="00423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9B28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6FC5C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hybridMultilevel"/>
    <w:tmpl w:val="780A94AA"/>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3" w15:restartNumberingAfterBreak="0">
    <w:nsid w:val="0000000A"/>
    <w:multiLevelType w:val="hybridMultilevel"/>
    <w:tmpl w:val="6BD2E080"/>
    <w:lvl w:ilvl="0" w:tplc="FFFFFFFF">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4" w15:restartNumberingAfterBreak="0">
    <w:nsid w:val="0000000C"/>
    <w:multiLevelType w:val="hybridMultilevel"/>
    <w:tmpl w:val="4B6CF16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decimal"/>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tplc="FFFFFFFF">
      <w:start w:val="1"/>
      <w:numFmt w:val="decimal"/>
      <w:lvlText w:val="%3."/>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decimal"/>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decimal"/>
      <w:lvlText w:val="%6."/>
      <w:lvlJc w:val="left"/>
      <w:pPr>
        <w:widowControl w:val="0"/>
        <w:tabs>
          <w:tab w:val="num" w:pos="4320"/>
        </w:tabs>
        <w:autoSpaceDE w:val="0"/>
        <w:autoSpaceDN w:val="0"/>
        <w:adjustRightInd w:val="0"/>
        <w:ind w:left="4320" w:hanging="36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decimal"/>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decimal"/>
      <w:lvlText w:val="%9."/>
      <w:lvlJc w:val="left"/>
      <w:pPr>
        <w:widowControl w:val="0"/>
        <w:tabs>
          <w:tab w:val="num" w:pos="6480"/>
        </w:tabs>
        <w:autoSpaceDE w:val="0"/>
        <w:autoSpaceDN w:val="0"/>
        <w:adjustRightInd w:val="0"/>
        <w:ind w:left="6480" w:hanging="360"/>
      </w:pPr>
      <w:rPr>
        <w:rFonts w:ascii="Times New Roman" w:hAnsi="Times New Roman" w:cs="Times New Roman"/>
        <w:sz w:val="24"/>
        <w:szCs w:val="24"/>
      </w:rPr>
    </w:lvl>
  </w:abstractNum>
  <w:abstractNum w:abstractNumId="5" w15:restartNumberingAfterBreak="0">
    <w:nsid w:val="02CE4C13"/>
    <w:multiLevelType w:val="hybridMultilevel"/>
    <w:tmpl w:val="6FE63FFA"/>
    <w:lvl w:ilvl="0" w:tplc="A7DEA2F4">
      <w:start w:val="1"/>
      <w:numFmt w:val="bullet"/>
      <w:lvlText w:val="​"/>
      <w:lvlJc w:val="left"/>
      <w:pPr>
        <w:tabs>
          <w:tab w:val="num" w:pos="720"/>
        </w:tabs>
        <w:ind w:left="720" w:hanging="360"/>
      </w:pPr>
      <w:rPr>
        <w:rFonts w:ascii="Arial" w:hAnsi="Arial" w:hint="default"/>
      </w:rPr>
    </w:lvl>
    <w:lvl w:ilvl="1" w:tplc="ED1E4844" w:tentative="1">
      <w:start w:val="1"/>
      <w:numFmt w:val="bullet"/>
      <w:lvlText w:val="​"/>
      <w:lvlJc w:val="left"/>
      <w:pPr>
        <w:tabs>
          <w:tab w:val="num" w:pos="1440"/>
        </w:tabs>
        <w:ind w:left="1440" w:hanging="360"/>
      </w:pPr>
      <w:rPr>
        <w:rFonts w:ascii="Arial" w:hAnsi="Arial" w:hint="default"/>
      </w:rPr>
    </w:lvl>
    <w:lvl w:ilvl="2" w:tplc="C138FCA8">
      <w:start w:val="1"/>
      <w:numFmt w:val="bullet"/>
      <w:lvlText w:val="​"/>
      <w:lvlJc w:val="left"/>
      <w:pPr>
        <w:tabs>
          <w:tab w:val="num" w:pos="2160"/>
        </w:tabs>
        <w:ind w:left="2160" w:hanging="360"/>
      </w:pPr>
      <w:rPr>
        <w:rFonts w:ascii="Arial" w:hAnsi="Arial" w:hint="default"/>
      </w:rPr>
    </w:lvl>
    <w:lvl w:ilvl="3" w:tplc="85580508" w:tentative="1">
      <w:start w:val="1"/>
      <w:numFmt w:val="bullet"/>
      <w:lvlText w:val="​"/>
      <w:lvlJc w:val="left"/>
      <w:pPr>
        <w:tabs>
          <w:tab w:val="num" w:pos="2880"/>
        </w:tabs>
        <w:ind w:left="2880" w:hanging="360"/>
      </w:pPr>
      <w:rPr>
        <w:rFonts w:ascii="Arial" w:hAnsi="Arial" w:hint="default"/>
      </w:rPr>
    </w:lvl>
    <w:lvl w:ilvl="4" w:tplc="6BAC1810" w:tentative="1">
      <w:start w:val="1"/>
      <w:numFmt w:val="bullet"/>
      <w:lvlText w:val="​"/>
      <w:lvlJc w:val="left"/>
      <w:pPr>
        <w:tabs>
          <w:tab w:val="num" w:pos="3600"/>
        </w:tabs>
        <w:ind w:left="3600" w:hanging="360"/>
      </w:pPr>
      <w:rPr>
        <w:rFonts w:ascii="Arial" w:hAnsi="Arial" w:hint="default"/>
      </w:rPr>
    </w:lvl>
    <w:lvl w:ilvl="5" w:tplc="8B8AC4C8" w:tentative="1">
      <w:start w:val="1"/>
      <w:numFmt w:val="bullet"/>
      <w:lvlText w:val="​"/>
      <w:lvlJc w:val="left"/>
      <w:pPr>
        <w:tabs>
          <w:tab w:val="num" w:pos="4320"/>
        </w:tabs>
        <w:ind w:left="4320" w:hanging="360"/>
      </w:pPr>
      <w:rPr>
        <w:rFonts w:ascii="Arial" w:hAnsi="Arial" w:hint="default"/>
      </w:rPr>
    </w:lvl>
    <w:lvl w:ilvl="6" w:tplc="C8EC94FA" w:tentative="1">
      <w:start w:val="1"/>
      <w:numFmt w:val="bullet"/>
      <w:lvlText w:val="​"/>
      <w:lvlJc w:val="left"/>
      <w:pPr>
        <w:tabs>
          <w:tab w:val="num" w:pos="5040"/>
        </w:tabs>
        <w:ind w:left="5040" w:hanging="360"/>
      </w:pPr>
      <w:rPr>
        <w:rFonts w:ascii="Arial" w:hAnsi="Arial" w:hint="default"/>
      </w:rPr>
    </w:lvl>
    <w:lvl w:ilvl="7" w:tplc="E5466BD8" w:tentative="1">
      <w:start w:val="1"/>
      <w:numFmt w:val="bullet"/>
      <w:lvlText w:val="​"/>
      <w:lvlJc w:val="left"/>
      <w:pPr>
        <w:tabs>
          <w:tab w:val="num" w:pos="5760"/>
        </w:tabs>
        <w:ind w:left="5760" w:hanging="360"/>
      </w:pPr>
      <w:rPr>
        <w:rFonts w:ascii="Arial" w:hAnsi="Arial" w:hint="default"/>
      </w:rPr>
    </w:lvl>
    <w:lvl w:ilvl="8" w:tplc="B28647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2A1751"/>
    <w:multiLevelType w:val="hybridMultilevel"/>
    <w:tmpl w:val="BE289B1E"/>
    <w:lvl w:ilvl="0" w:tplc="C1D6C5BE">
      <w:numFmt w:val="bullet"/>
      <w:lvlText w:val="-"/>
      <w:lvlJc w:val="left"/>
      <w:pPr>
        <w:ind w:left="1224" w:hanging="864"/>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3019D"/>
    <w:multiLevelType w:val="hybridMultilevel"/>
    <w:tmpl w:val="2D7A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02D74"/>
    <w:multiLevelType w:val="hybridMultilevel"/>
    <w:tmpl w:val="110E90CC"/>
    <w:lvl w:ilvl="0" w:tplc="739481B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9F0B51"/>
    <w:multiLevelType w:val="hybridMultilevel"/>
    <w:tmpl w:val="C1D24ED8"/>
    <w:lvl w:ilvl="0" w:tplc="2140D604">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D8C0BC00" w:tentative="1">
      <w:start w:val="1"/>
      <w:numFmt w:val="bullet"/>
      <w:lvlText w:val=""/>
      <w:lvlJc w:val="left"/>
      <w:pPr>
        <w:tabs>
          <w:tab w:val="num" w:pos="2160"/>
        </w:tabs>
        <w:ind w:left="2160" w:hanging="360"/>
      </w:pPr>
      <w:rPr>
        <w:rFonts w:ascii="Wingdings" w:hAnsi="Wingdings" w:hint="default"/>
      </w:rPr>
    </w:lvl>
    <w:lvl w:ilvl="3" w:tplc="F60CC52C" w:tentative="1">
      <w:start w:val="1"/>
      <w:numFmt w:val="bullet"/>
      <w:lvlText w:val=""/>
      <w:lvlJc w:val="left"/>
      <w:pPr>
        <w:tabs>
          <w:tab w:val="num" w:pos="2880"/>
        </w:tabs>
        <w:ind w:left="2880" w:hanging="360"/>
      </w:pPr>
      <w:rPr>
        <w:rFonts w:ascii="Wingdings" w:hAnsi="Wingdings" w:hint="default"/>
      </w:rPr>
    </w:lvl>
    <w:lvl w:ilvl="4" w:tplc="A05A1CCC" w:tentative="1">
      <w:start w:val="1"/>
      <w:numFmt w:val="bullet"/>
      <w:lvlText w:val=""/>
      <w:lvlJc w:val="left"/>
      <w:pPr>
        <w:tabs>
          <w:tab w:val="num" w:pos="3600"/>
        </w:tabs>
        <w:ind w:left="3600" w:hanging="360"/>
      </w:pPr>
      <w:rPr>
        <w:rFonts w:ascii="Wingdings" w:hAnsi="Wingdings" w:hint="default"/>
      </w:rPr>
    </w:lvl>
    <w:lvl w:ilvl="5" w:tplc="194A772A" w:tentative="1">
      <w:start w:val="1"/>
      <w:numFmt w:val="bullet"/>
      <w:lvlText w:val=""/>
      <w:lvlJc w:val="left"/>
      <w:pPr>
        <w:tabs>
          <w:tab w:val="num" w:pos="4320"/>
        </w:tabs>
        <w:ind w:left="4320" w:hanging="360"/>
      </w:pPr>
      <w:rPr>
        <w:rFonts w:ascii="Wingdings" w:hAnsi="Wingdings" w:hint="default"/>
      </w:rPr>
    </w:lvl>
    <w:lvl w:ilvl="6" w:tplc="FAB0FABE" w:tentative="1">
      <w:start w:val="1"/>
      <w:numFmt w:val="bullet"/>
      <w:lvlText w:val=""/>
      <w:lvlJc w:val="left"/>
      <w:pPr>
        <w:tabs>
          <w:tab w:val="num" w:pos="5040"/>
        </w:tabs>
        <w:ind w:left="5040" w:hanging="360"/>
      </w:pPr>
      <w:rPr>
        <w:rFonts w:ascii="Wingdings" w:hAnsi="Wingdings" w:hint="default"/>
      </w:rPr>
    </w:lvl>
    <w:lvl w:ilvl="7" w:tplc="E68ACF98" w:tentative="1">
      <w:start w:val="1"/>
      <w:numFmt w:val="bullet"/>
      <w:lvlText w:val=""/>
      <w:lvlJc w:val="left"/>
      <w:pPr>
        <w:tabs>
          <w:tab w:val="num" w:pos="5760"/>
        </w:tabs>
        <w:ind w:left="5760" w:hanging="360"/>
      </w:pPr>
      <w:rPr>
        <w:rFonts w:ascii="Wingdings" w:hAnsi="Wingdings" w:hint="default"/>
      </w:rPr>
    </w:lvl>
    <w:lvl w:ilvl="8" w:tplc="72E4EF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36E63"/>
    <w:multiLevelType w:val="hybridMultilevel"/>
    <w:tmpl w:val="5104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33664"/>
    <w:multiLevelType w:val="hybridMultilevel"/>
    <w:tmpl w:val="B55C1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3F5153"/>
    <w:multiLevelType w:val="hybridMultilevel"/>
    <w:tmpl w:val="421C7D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1434B3"/>
    <w:multiLevelType w:val="hybridMultilevel"/>
    <w:tmpl w:val="5BBC8F8A"/>
    <w:lvl w:ilvl="0" w:tplc="2140D604">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D8C0BC00" w:tentative="1">
      <w:start w:val="1"/>
      <w:numFmt w:val="bullet"/>
      <w:lvlText w:val=""/>
      <w:lvlJc w:val="left"/>
      <w:pPr>
        <w:tabs>
          <w:tab w:val="num" w:pos="2160"/>
        </w:tabs>
        <w:ind w:left="2160" w:hanging="360"/>
      </w:pPr>
      <w:rPr>
        <w:rFonts w:ascii="Wingdings" w:hAnsi="Wingdings" w:hint="default"/>
      </w:rPr>
    </w:lvl>
    <w:lvl w:ilvl="3" w:tplc="F60CC52C" w:tentative="1">
      <w:start w:val="1"/>
      <w:numFmt w:val="bullet"/>
      <w:lvlText w:val=""/>
      <w:lvlJc w:val="left"/>
      <w:pPr>
        <w:tabs>
          <w:tab w:val="num" w:pos="2880"/>
        </w:tabs>
        <w:ind w:left="2880" w:hanging="360"/>
      </w:pPr>
      <w:rPr>
        <w:rFonts w:ascii="Wingdings" w:hAnsi="Wingdings" w:hint="default"/>
      </w:rPr>
    </w:lvl>
    <w:lvl w:ilvl="4" w:tplc="A05A1CCC" w:tentative="1">
      <w:start w:val="1"/>
      <w:numFmt w:val="bullet"/>
      <w:lvlText w:val=""/>
      <w:lvlJc w:val="left"/>
      <w:pPr>
        <w:tabs>
          <w:tab w:val="num" w:pos="3600"/>
        </w:tabs>
        <w:ind w:left="3600" w:hanging="360"/>
      </w:pPr>
      <w:rPr>
        <w:rFonts w:ascii="Wingdings" w:hAnsi="Wingdings" w:hint="default"/>
      </w:rPr>
    </w:lvl>
    <w:lvl w:ilvl="5" w:tplc="194A772A" w:tentative="1">
      <w:start w:val="1"/>
      <w:numFmt w:val="bullet"/>
      <w:lvlText w:val=""/>
      <w:lvlJc w:val="left"/>
      <w:pPr>
        <w:tabs>
          <w:tab w:val="num" w:pos="4320"/>
        </w:tabs>
        <w:ind w:left="4320" w:hanging="360"/>
      </w:pPr>
      <w:rPr>
        <w:rFonts w:ascii="Wingdings" w:hAnsi="Wingdings" w:hint="default"/>
      </w:rPr>
    </w:lvl>
    <w:lvl w:ilvl="6" w:tplc="FAB0FABE" w:tentative="1">
      <w:start w:val="1"/>
      <w:numFmt w:val="bullet"/>
      <w:lvlText w:val=""/>
      <w:lvlJc w:val="left"/>
      <w:pPr>
        <w:tabs>
          <w:tab w:val="num" w:pos="5040"/>
        </w:tabs>
        <w:ind w:left="5040" w:hanging="360"/>
      </w:pPr>
      <w:rPr>
        <w:rFonts w:ascii="Wingdings" w:hAnsi="Wingdings" w:hint="default"/>
      </w:rPr>
    </w:lvl>
    <w:lvl w:ilvl="7" w:tplc="E68ACF98" w:tentative="1">
      <w:start w:val="1"/>
      <w:numFmt w:val="bullet"/>
      <w:lvlText w:val=""/>
      <w:lvlJc w:val="left"/>
      <w:pPr>
        <w:tabs>
          <w:tab w:val="num" w:pos="5760"/>
        </w:tabs>
        <w:ind w:left="5760" w:hanging="360"/>
      </w:pPr>
      <w:rPr>
        <w:rFonts w:ascii="Wingdings" w:hAnsi="Wingdings" w:hint="default"/>
      </w:rPr>
    </w:lvl>
    <w:lvl w:ilvl="8" w:tplc="72E4EF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D0EAA"/>
    <w:multiLevelType w:val="hybridMultilevel"/>
    <w:tmpl w:val="742C2912"/>
    <w:lvl w:ilvl="0" w:tplc="0809000F">
      <w:start w:val="1"/>
      <w:numFmt w:val="decimal"/>
      <w:lvlText w:val="%1."/>
      <w:lvlJc w:val="left"/>
      <w:pPr>
        <w:ind w:left="1224" w:hanging="86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91958"/>
    <w:multiLevelType w:val="hybridMultilevel"/>
    <w:tmpl w:val="ECEE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C7D8A"/>
    <w:multiLevelType w:val="hybridMultilevel"/>
    <w:tmpl w:val="FBA6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07C62"/>
    <w:multiLevelType w:val="hybridMultilevel"/>
    <w:tmpl w:val="B5E0FE88"/>
    <w:lvl w:ilvl="0" w:tplc="71BCBD1E">
      <w:start w:val="1"/>
      <w:numFmt w:val="decimal"/>
      <w:lvlText w:val="%1."/>
      <w:lvlJc w:val="left"/>
      <w:pPr>
        <w:ind w:left="1080" w:hanging="720"/>
      </w:pPr>
      <w:rPr>
        <w:rFonts w:hint="default"/>
        <w:color w:val="62B5E5"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7374F5"/>
    <w:multiLevelType w:val="hybridMultilevel"/>
    <w:tmpl w:val="37C879B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9" w15:restartNumberingAfterBreak="0">
    <w:nsid w:val="3B915ADB"/>
    <w:multiLevelType w:val="hybridMultilevel"/>
    <w:tmpl w:val="5810D64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F52D3"/>
    <w:multiLevelType w:val="hybridMultilevel"/>
    <w:tmpl w:val="6C36B3E4"/>
    <w:lvl w:ilvl="0" w:tplc="D3109B86">
      <w:start w:val="1"/>
      <w:numFmt w:val="bullet"/>
      <w:lvlText w:val="•"/>
      <w:lvlJc w:val="left"/>
      <w:pPr>
        <w:tabs>
          <w:tab w:val="num" w:pos="720"/>
        </w:tabs>
        <w:ind w:left="720" w:hanging="360"/>
      </w:pPr>
      <w:rPr>
        <w:rFonts w:ascii="Arial" w:hAnsi="Arial" w:hint="default"/>
      </w:rPr>
    </w:lvl>
    <w:lvl w:ilvl="1" w:tplc="EA0093BA" w:tentative="1">
      <w:start w:val="1"/>
      <w:numFmt w:val="bullet"/>
      <w:lvlText w:val="•"/>
      <w:lvlJc w:val="left"/>
      <w:pPr>
        <w:tabs>
          <w:tab w:val="num" w:pos="1440"/>
        </w:tabs>
        <w:ind w:left="1440" w:hanging="360"/>
      </w:pPr>
      <w:rPr>
        <w:rFonts w:ascii="Arial" w:hAnsi="Arial" w:hint="default"/>
      </w:rPr>
    </w:lvl>
    <w:lvl w:ilvl="2" w:tplc="B8A4FB1A" w:tentative="1">
      <w:start w:val="1"/>
      <w:numFmt w:val="bullet"/>
      <w:lvlText w:val="•"/>
      <w:lvlJc w:val="left"/>
      <w:pPr>
        <w:tabs>
          <w:tab w:val="num" w:pos="2160"/>
        </w:tabs>
        <w:ind w:left="2160" w:hanging="360"/>
      </w:pPr>
      <w:rPr>
        <w:rFonts w:ascii="Arial" w:hAnsi="Arial" w:hint="default"/>
      </w:rPr>
    </w:lvl>
    <w:lvl w:ilvl="3" w:tplc="B2F63BC8" w:tentative="1">
      <w:start w:val="1"/>
      <w:numFmt w:val="bullet"/>
      <w:lvlText w:val="•"/>
      <w:lvlJc w:val="left"/>
      <w:pPr>
        <w:tabs>
          <w:tab w:val="num" w:pos="2880"/>
        </w:tabs>
        <w:ind w:left="2880" w:hanging="360"/>
      </w:pPr>
      <w:rPr>
        <w:rFonts w:ascii="Arial" w:hAnsi="Arial" w:hint="default"/>
      </w:rPr>
    </w:lvl>
    <w:lvl w:ilvl="4" w:tplc="F1B2E926" w:tentative="1">
      <w:start w:val="1"/>
      <w:numFmt w:val="bullet"/>
      <w:lvlText w:val="•"/>
      <w:lvlJc w:val="left"/>
      <w:pPr>
        <w:tabs>
          <w:tab w:val="num" w:pos="3600"/>
        </w:tabs>
        <w:ind w:left="3600" w:hanging="360"/>
      </w:pPr>
      <w:rPr>
        <w:rFonts w:ascii="Arial" w:hAnsi="Arial" w:hint="default"/>
      </w:rPr>
    </w:lvl>
    <w:lvl w:ilvl="5" w:tplc="E62A7450" w:tentative="1">
      <w:start w:val="1"/>
      <w:numFmt w:val="bullet"/>
      <w:lvlText w:val="•"/>
      <w:lvlJc w:val="left"/>
      <w:pPr>
        <w:tabs>
          <w:tab w:val="num" w:pos="4320"/>
        </w:tabs>
        <w:ind w:left="4320" w:hanging="360"/>
      </w:pPr>
      <w:rPr>
        <w:rFonts w:ascii="Arial" w:hAnsi="Arial" w:hint="default"/>
      </w:rPr>
    </w:lvl>
    <w:lvl w:ilvl="6" w:tplc="980807FE" w:tentative="1">
      <w:start w:val="1"/>
      <w:numFmt w:val="bullet"/>
      <w:lvlText w:val="•"/>
      <w:lvlJc w:val="left"/>
      <w:pPr>
        <w:tabs>
          <w:tab w:val="num" w:pos="5040"/>
        </w:tabs>
        <w:ind w:left="5040" w:hanging="360"/>
      </w:pPr>
      <w:rPr>
        <w:rFonts w:ascii="Arial" w:hAnsi="Arial" w:hint="default"/>
      </w:rPr>
    </w:lvl>
    <w:lvl w:ilvl="7" w:tplc="ECC27B9A" w:tentative="1">
      <w:start w:val="1"/>
      <w:numFmt w:val="bullet"/>
      <w:lvlText w:val="•"/>
      <w:lvlJc w:val="left"/>
      <w:pPr>
        <w:tabs>
          <w:tab w:val="num" w:pos="5760"/>
        </w:tabs>
        <w:ind w:left="5760" w:hanging="360"/>
      </w:pPr>
      <w:rPr>
        <w:rFonts w:ascii="Arial" w:hAnsi="Arial" w:hint="default"/>
      </w:rPr>
    </w:lvl>
    <w:lvl w:ilvl="8" w:tplc="4B44D3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8630AC"/>
    <w:multiLevelType w:val="hybridMultilevel"/>
    <w:tmpl w:val="E3EC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957A3"/>
    <w:multiLevelType w:val="hybridMultilevel"/>
    <w:tmpl w:val="61FEA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FB7216"/>
    <w:multiLevelType w:val="hybridMultilevel"/>
    <w:tmpl w:val="B5E0FE88"/>
    <w:lvl w:ilvl="0" w:tplc="71BCBD1E">
      <w:start w:val="1"/>
      <w:numFmt w:val="decimal"/>
      <w:lvlText w:val="%1."/>
      <w:lvlJc w:val="left"/>
      <w:pPr>
        <w:ind w:left="1080" w:hanging="720"/>
      </w:pPr>
      <w:rPr>
        <w:rFonts w:hint="default"/>
        <w:color w:val="62B5E5"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87149F"/>
    <w:multiLevelType w:val="hybridMultilevel"/>
    <w:tmpl w:val="8C4A78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2F5331"/>
    <w:multiLevelType w:val="hybridMultilevel"/>
    <w:tmpl w:val="687E1B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D8C0BC00" w:tentative="1">
      <w:start w:val="1"/>
      <w:numFmt w:val="bullet"/>
      <w:lvlText w:val=""/>
      <w:lvlJc w:val="left"/>
      <w:pPr>
        <w:tabs>
          <w:tab w:val="num" w:pos="2160"/>
        </w:tabs>
        <w:ind w:left="2160" w:hanging="360"/>
      </w:pPr>
      <w:rPr>
        <w:rFonts w:ascii="Wingdings" w:hAnsi="Wingdings" w:hint="default"/>
      </w:rPr>
    </w:lvl>
    <w:lvl w:ilvl="3" w:tplc="F60CC52C" w:tentative="1">
      <w:start w:val="1"/>
      <w:numFmt w:val="bullet"/>
      <w:lvlText w:val=""/>
      <w:lvlJc w:val="left"/>
      <w:pPr>
        <w:tabs>
          <w:tab w:val="num" w:pos="2880"/>
        </w:tabs>
        <w:ind w:left="2880" w:hanging="360"/>
      </w:pPr>
      <w:rPr>
        <w:rFonts w:ascii="Wingdings" w:hAnsi="Wingdings" w:hint="default"/>
      </w:rPr>
    </w:lvl>
    <w:lvl w:ilvl="4" w:tplc="A05A1CCC" w:tentative="1">
      <w:start w:val="1"/>
      <w:numFmt w:val="bullet"/>
      <w:lvlText w:val=""/>
      <w:lvlJc w:val="left"/>
      <w:pPr>
        <w:tabs>
          <w:tab w:val="num" w:pos="3600"/>
        </w:tabs>
        <w:ind w:left="3600" w:hanging="360"/>
      </w:pPr>
      <w:rPr>
        <w:rFonts w:ascii="Wingdings" w:hAnsi="Wingdings" w:hint="default"/>
      </w:rPr>
    </w:lvl>
    <w:lvl w:ilvl="5" w:tplc="194A772A" w:tentative="1">
      <w:start w:val="1"/>
      <w:numFmt w:val="bullet"/>
      <w:lvlText w:val=""/>
      <w:lvlJc w:val="left"/>
      <w:pPr>
        <w:tabs>
          <w:tab w:val="num" w:pos="4320"/>
        </w:tabs>
        <w:ind w:left="4320" w:hanging="360"/>
      </w:pPr>
      <w:rPr>
        <w:rFonts w:ascii="Wingdings" w:hAnsi="Wingdings" w:hint="default"/>
      </w:rPr>
    </w:lvl>
    <w:lvl w:ilvl="6" w:tplc="FAB0FABE" w:tentative="1">
      <w:start w:val="1"/>
      <w:numFmt w:val="bullet"/>
      <w:lvlText w:val=""/>
      <w:lvlJc w:val="left"/>
      <w:pPr>
        <w:tabs>
          <w:tab w:val="num" w:pos="5040"/>
        </w:tabs>
        <w:ind w:left="5040" w:hanging="360"/>
      </w:pPr>
      <w:rPr>
        <w:rFonts w:ascii="Wingdings" w:hAnsi="Wingdings" w:hint="default"/>
      </w:rPr>
    </w:lvl>
    <w:lvl w:ilvl="7" w:tplc="E68ACF98" w:tentative="1">
      <w:start w:val="1"/>
      <w:numFmt w:val="bullet"/>
      <w:lvlText w:val=""/>
      <w:lvlJc w:val="left"/>
      <w:pPr>
        <w:tabs>
          <w:tab w:val="num" w:pos="5760"/>
        </w:tabs>
        <w:ind w:left="5760" w:hanging="360"/>
      </w:pPr>
      <w:rPr>
        <w:rFonts w:ascii="Wingdings" w:hAnsi="Wingdings" w:hint="default"/>
      </w:rPr>
    </w:lvl>
    <w:lvl w:ilvl="8" w:tplc="72E4EF1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31FC0"/>
    <w:multiLevelType w:val="hybridMultilevel"/>
    <w:tmpl w:val="B5E0FE88"/>
    <w:lvl w:ilvl="0" w:tplc="71BCBD1E">
      <w:start w:val="1"/>
      <w:numFmt w:val="decimal"/>
      <w:lvlText w:val="%1."/>
      <w:lvlJc w:val="left"/>
      <w:pPr>
        <w:ind w:left="1080" w:hanging="720"/>
      </w:pPr>
      <w:rPr>
        <w:rFonts w:hint="default"/>
        <w:color w:val="62B5E5"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374732"/>
    <w:multiLevelType w:val="hybridMultilevel"/>
    <w:tmpl w:val="0DA48764"/>
    <w:lvl w:ilvl="0" w:tplc="96C0AFCE">
      <w:start w:val="1"/>
      <w:numFmt w:val="bullet"/>
      <w:lvlText w:val=""/>
      <w:lvlJc w:val="left"/>
      <w:pPr>
        <w:tabs>
          <w:tab w:val="num" w:pos="720"/>
        </w:tabs>
        <w:ind w:left="720" w:hanging="360"/>
      </w:pPr>
      <w:rPr>
        <w:rFonts w:ascii="Wingdings" w:hAnsi="Wingdings" w:hint="default"/>
      </w:rPr>
    </w:lvl>
    <w:lvl w:ilvl="1" w:tplc="FBE8A60E">
      <w:start w:val="161"/>
      <w:numFmt w:val="bullet"/>
      <w:lvlText w:val="–"/>
      <w:lvlJc w:val="left"/>
      <w:pPr>
        <w:tabs>
          <w:tab w:val="num" w:pos="1440"/>
        </w:tabs>
        <w:ind w:left="1440" w:hanging="360"/>
      </w:pPr>
      <w:rPr>
        <w:rFonts w:ascii="Times New Roman" w:hAnsi="Times New Roman" w:hint="default"/>
      </w:rPr>
    </w:lvl>
    <w:lvl w:ilvl="2" w:tplc="14E88076">
      <w:start w:val="1"/>
      <w:numFmt w:val="bullet"/>
      <w:lvlText w:val=""/>
      <w:lvlJc w:val="left"/>
      <w:pPr>
        <w:tabs>
          <w:tab w:val="num" w:pos="2160"/>
        </w:tabs>
        <w:ind w:left="2160" w:hanging="360"/>
      </w:pPr>
      <w:rPr>
        <w:rFonts w:ascii="Wingdings" w:hAnsi="Wingdings" w:hint="default"/>
      </w:rPr>
    </w:lvl>
    <w:lvl w:ilvl="3" w:tplc="D60C44D8" w:tentative="1">
      <w:start w:val="1"/>
      <w:numFmt w:val="bullet"/>
      <w:lvlText w:val=""/>
      <w:lvlJc w:val="left"/>
      <w:pPr>
        <w:tabs>
          <w:tab w:val="num" w:pos="2880"/>
        </w:tabs>
        <w:ind w:left="2880" w:hanging="360"/>
      </w:pPr>
      <w:rPr>
        <w:rFonts w:ascii="Wingdings" w:hAnsi="Wingdings" w:hint="default"/>
      </w:rPr>
    </w:lvl>
    <w:lvl w:ilvl="4" w:tplc="88220856" w:tentative="1">
      <w:start w:val="1"/>
      <w:numFmt w:val="bullet"/>
      <w:lvlText w:val=""/>
      <w:lvlJc w:val="left"/>
      <w:pPr>
        <w:tabs>
          <w:tab w:val="num" w:pos="3600"/>
        </w:tabs>
        <w:ind w:left="3600" w:hanging="360"/>
      </w:pPr>
      <w:rPr>
        <w:rFonts w:ascii="Wingdings" w:hAnsi="Wingdings" w:hint="default"/>
      </w:rPr>
    </w:lvl>
    <w:lvl w:ilvl="5" w:tplc="06F0A48E" w:tentative="1">
      <w:start w:val="1"/>
      <w:numFmt w:val="bullet"/>
      <w:lvlText w:val=""/>
      <w:lvlJc w:val="left"/>
      <w:pPr>
        <w:tabs>
          <w:tab w:val="num" w:pos="4320"/>
        </w:tabs>
        <w:ind w:left="4320" w:hanging="360"/>
      </w:pPr>
      <w:rPr>
        <w:rFonts w:ascii="Wingdings" w:hAnsi="Wingdings" w:hint="default"/>
      </w:rPr>
    </w:lvl>
    <w:lvl w:ilvl="6" w:tplc="56E2A288" w:tentative="1">
      <w:start w:val="1"/>
      <w:numFmt w:val="bullet"/>
      <w:lvlText w:val=""/>
      <w:lvlJc w:val="left"/>
      <w:pPr>
        <w:tabs>
          <w:tab w:val="num" w:pos="5040"/>
        </w:tabs>
        <w:ind w:left="5040" w:hanging="360"/>
      </w:pPr>
      <w:rPr>
        <w:rFonts w:ascii="Wingdings" w:hAnsi="Wingdings" w:hint="default"/>
      </w:rPr>
    </w:lvl>
    <w:lvl w:ilvl="7" w:tplc="CAE65FAC" w:tentative="1">
      <w:start w:val="1"/>
      <w:numFmt w:val="bullet"/>
      <w:lvlText w:val=""/>
      <w:lvlJc w:val="left"/>
      <w:pPr>
        <w:tabs>
          <w:tab w:val="num" w:pos="5760"/>
        </w:tabs>
        <w:ind w:left="5760" w:hanging="360"/>
      </w:pPr>
      <w:rPr>
        <w:rFonts w:ascii="Wingdings" w:hAnsi="Wingdings" w:hint="default"/>
      </w:rPr>
    </w:lvl>
    <w:lvl w:ilvl="8" w:tplc="DD827F1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7B79A0"/>
    <w:multiLevelType w:val="hybridMultilevel"/>
    <w:tmpl w:val="B5E0FE88"/>
    <w:lvl w:ilvl="0" w:tplc="71BCBD1E">
      <w:start w:val="1"/>
      <w:numFmt w:val="decimal"/>
      <w:lvlText w:val="%1."/>
      <w:lvlJc w:val="left"/>
      <w:pPr>
        <w:ind w:left="1080" w:hanging="720"/>
      </w:pPr>
      <w:rPr>
        <w:rFonts w:hint="default"/>
        <w:color w:val="62B5E5" w:themeColor="accent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245B0F"/>
    <w:multiLevelType w:val="hybridMultilevel"/>
    <w:tmpl w:val="457026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D34CDB"/>
    <w:multiLevelType w:val="hybridMultilevel"/>
    <w:tmpl w:val="4F142620"/>
    <w:lvl w:ilvl="0" w:tplc="08090001">
      <w:start w:val="1"/>
      <w:numFmt w:val="bullet"/>
      <w:lvlText w:val=""/>
      <w:lvlJc w:val="left"/>
      <w:pPr>
        <w:ind w:left="1224" w:hanging="8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674F81"/>
    <w:multiLevelType w:val="hybridMultilevel"/>
    <w:tmpl w:val="7CDEF6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7142973"/>
    <w:multiLevelType w:val="hybridMultilevel"/>
    <w:tmpl w:val="D73003D0"/>
    <w:lvl w:ilvl="0" w:tplc="17429620">
      <w:start w:val="1"/>
      <w:numFmt w:val="decimal"/>
      <w:pStyle w:val="Style2"/>
      <w:lvlText w:val="2.%1. "/>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8F3626"/>
    <w:multiLevelType w:val="hybridMultilevel"/>
    <w:tmpl w:val="02745A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690E0390"/>
    <w:multiLevelType w:val="hybridMultilevel"/>
    <w:tmpl w:val="C06C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51C31"/>
    <w:multiLevelType w:val="hybridMultilevel"/>
    <w:tmpl w:val="53065F7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D8C0BC00">
      <w:start w:val="1"/>
      <w:numFmt w:val="bullet"/>
      <w:lvlText w:val=""/>
      <w:lvlJc w:val="left"/>
      <w:pPr>
        <w:tabs>
          <w:tab w:val="num" w:pos="2160"/>
        </w:tabs>
        <w:ind w:left="2160" w:hanging="360"/>
      </w:pPr>
      <w:rPr>
        <w:rFonts w:ascii="Wingdings" w:hAnsi="Wingdings" w:hint="default"/>
      </w:rPr>
    </w:lvl>
    <w:lvl w:ilvl="3" w:tplc="F60CC52C">
      <w:start w:val="1"/>
      <w:numFmt w:val="bullet"/>
      <w:lvlText w:val=""/>
      <w:lvlJc w:val="left"/>
      <w:pPr>
        <w:tabs>
          <w:tab w:val="num" w:pos="2880"/>
        </w:tabs>
        <w:ind w:left="2880" w:hanging="360"/>
      </w:pPr>
      <w:rPr>
        <w:rFonts w:ascii="Wingdings" w:hAnsi="Wingdings" w:hint="default"/>
      </w:rPr>
    </w:lvl>
    <w:lvl w:ilvl="4" w:tplc="A05A1CCC">
      <w:start w:val="1"/>
      <w:numFmt w:val="bullet"/>
      <w:lvlText w:val=""/>
      <w:lvlJc w:val="left"/>
      <w:pPr>
        <w:tabs>
          <w:tab w:val="num" w:pos="3600"/>
        </w:tabs>
        <w:ind w:left="3600" w:hanging="360"/>
      </w:pPr>
      <w:rPr>
        <w:rFonts w:ascii="Wingdings" w:hAnsi="Wingdings" w:hint="default"/>
      </w:rPr>
    </w:lvl>
    <w:lvl w:ilvl="5" w:tplc="194A772A">
      <w:start w:val="1"/>
      <w:numFmt w:val="bullet"/>
      <w:lvlText w:val=""/>
      <w:lvlJc w:val="left"/>
      <w:pPr>
        <w:tabs>
          <w:tab w:val="num" w:pos="4320"/>
        </w:tabs>
        <w:ind w:left="4320" w:hanging="360"/>
      </w:pPr>
      <w:rPr>
        <w:rFonts w:ascii="Wingdings" w:hAnsi="Wingdings" w:hint="default"/>
      </w:rPr>
    </w:lvl>
    <w:lvl w:ilvl="6" w:tplc="FAB0FABE">
      <w:start w:val="1"/>
      <w:numFmt w:val="bullet"/>
      <w:lvlText w:val=""/>
      <w:lvlJc w:val="left"/>
      <w:pPr>
        <w:tabs>
          <w:tab w:val="num" w:pos="5040"/>
        </w:tabs>
        <w:ind w:left="5040" w:hanging="360"/>
      </w:pPr>
      <w:rPr>
        <w:rFonts w:ascii="Wingdings" w:hAnsi="Wingdings" w:hint="default"/>
      </w:rPr>
    </w:lvl>
    <w:lvl w:ilvl="7" w:tplc="E68ACF98">
      <w:start w:val="1"/>
      <w:numFmt w:val="bullet"/>
      <w:lvlText w:val=""/>
      <w:lvlJc w:val="left"/>
      <w:pPr>
        <w:tabs>
          <w:tab w:val="num" w:pos="5760"/>
        </w:tabs>
        <w:ind w:left="5760" w:hanging="360"/>
      </w:pPr>
      <w:rPr>
        <w:rFonts w:ascii="Wingdings" w:hAnsi="Wingdings" w:hint="default"/>
      </w:rPr>
    </w:lvl>
    <w:lvl w:ilvl="8" w:tplc="72E4EF1A">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C00C03"/>
    <w:multiLevelType w:val="hybridMultilevel"/>
    <w:tmpl w:val="7856119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861B4B"/>
    <w:multiLevelType w:val="hybridMultilevel"/>
    <w:tmpl w:val="87EAB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7"/>
  </w:num>
  <w:num w:numId="3">
    <w:abstractNumId w:val="19"/>
  </w:num>
  <w:num w:numId="4">
    <w:abstractNumId w:val="36"/>
  </w:num>
  <w:num w:numId="5">
    <w:abstractNumId w:val="22"/>
  </w:num>
  <w:num w:numId="6">
    <w:abstractNumId w:val="18"/>
  </w:num>
  <w:num w:numId="7">
    <w:abstractNumId w:val="1"/>
  </w:num>
  <w:num w:numId="8">
    <w:abstractNumId w:val="29"/>
  </w:num>
  <w:num w:numId="9">
    <w:abstractNumId w:val="8"/>
  </w:num>
  <w:num w:numId="10">
    <w:abstractNumId w:val="16"/>
  </w:num>
  <w:num w:numId="11">
    <w:abstractNumId w:val="9"/>
  </w:num>
  <w:num w:numId="12">
    <w:abstractNumId w:val="25"/>
  </w:num>
  <w:num w:numId="13">
    <w:abstractNumId w:val="3"/>
  </w:num>
  <w:num w:numId="14">
    <w:abstractNumId w:val="33"/>
  </w:num>
  <w:num w:numId="15">
    <w:abstractNumId w:val="28"/>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
  </w:num>
  <w:num w:numId="20">
    <w:abstractNumId w:val="2"/>
  </w:num>
  <w:num w:numId="21">
    <w:abstractNumId w:val="31"/>
  </w:num>
  <w:num w:numId="22">
    <w:abstractNumId w:val="0"/>
  </w:num>
  <w:num w:numId="23">
    <w:abstractNumId w:val="37"/>
  </w:num>
  <w:num w:numId="24">
    <w:abstractNumId w:val="10"/>
  </w:num>
  <w:num w:numId="25">
    <w:abstractNumId w:val="1"/>
  </w:num>
  <w:num w:numId="26">
    <w:abstractNumId w:val="1"/>
  </w:num>
  <w:num w:numId="27">
    <w:abstractNumId w:val="1"/>
  </w:num>
  <w:num w:numId="28">
    <w:abstractNumId w:val="1"/>
  </w:num>
  <w:num w:numId="29">
    <w:abstractNumId w:val="7"/>
  </w:num>
  <w:num w:numId="30">
    <w:abstractNumId w:val="1"/>
  </w:num>
  <w:num w:numId="31">
    <w:abstractNumId w:val="11"/>
  </w:num>
  <w:num w:numId="32">
    <w:abstractNumId w:val="17"/>
  </w:num>
  <w:num w:numId="33">
    <w:abstractNumId w:val="26"/>
  </w:num>
  <w:num w:numId="34">
    <w:abstractNumId w:val="23"/>
  </w:num>
  <w:num w:numId="35">
    <w:abstractNumId w:val="24"/>
  </w:num>
  <w:num w:numId="36">
    <w:abstractNumId w:val="1"/>
  </w:num>
  <w:num w:numId="37">
    <w:abstractNumId w:val="34"/>
  </w:num>
  <w:num w:numId="38">
    <w:abstractNumId w:val="21"/>
  </w:num>
  <w:num w:numId="39">
    <w:abstractNumId w:val="6"/>
  </w:num>
  <w:num w:numId="40">
    <w:abstractNumId w:val="14"/>
  </w:num>
  <w:num w:numId="41">
    <w:abstractNumId w:val="30"/>
  </w:num>
  <w:num w:numId="42">
    <w:abstractNumId w:val="12"/>
  </w:num>
  <w:num w:numId="43">
    <w:abstractNumId w:val="32"/>
  </w:num>
  <w:num w:numId="44">
    <w:abstractNumId w:val="20"/>
  </w:num>
  <w:num w:numId="45">
    <w:abstractNumId w:val="15"/>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63"/>
    <w:rsid w:val="000007BA"/>
    <w:rsid w:val="000015F4"/>
    <w:rsid w:val="00010E0E"/>
    <w:rsid w:val="000124FE"/>
    <w:rsid w:val="00025F4F"/>
    <w:rsid w:val="000308AF"/>
    <w:rsid w:val="00037718"/>
    <w:rsid w:val="00040688"/>
    <w:rsid w:val="00046A6D"/>
    <w:rsid w:val="00054F26"/>
    <w:rsid w:val="000566E6"/>
    <w:rsid w:val="000747AF"/>
    <w:rsid w:val="00075703"/>
    <w:rsid w:val="0008091F"/>
    <w:rsid w:val="00090F04"/>
    <w:rsid w:val="000A154F"/>
    <w:rsid w:val="000B5A6C"/>
    <w:rsid w:val="000B5BFA"/>
    <w:rsid w:val="000E3CC1"/>
    <w:rsid w:val="000E5878"/>
    <w:rsid w:val="000F64AD"/>
    <w:rsid w:val="000F733A"/>
    <w:rsid w:val="00102729"/>
    <w:rsid w:val="00111BB0"/>
    <w:rsid w:val="00113524"/>
    <w:rsid w:val="00116076"/>
    <w:rsid w:val="00121EEA"/>
    <w:rsid w:val="001321F5"/>
    <w:rsid w:val="001377FE"/>
    <w:rsid w:val="001402BA"/>
    <w:rsid w:val="001470E3"/>
    <w:rsid w:val="0015742A"/>
    <w:rsid w:val="00161276"/>
    <w:rsid w:val="00161404"/>
    <w:rsid w:val="00161EC9"/>
    <w:rsid w:val="00162C09"/>
    <w:rsid w:val="001655A3"/>
    <w:rsid w:val="00167CF5"/>
    <w:rsid w:val="00175F0E"/>
    <w:rsid w:val="001767D9"/>
    <w:rsid w:val="001772EE"/>
    <w:rsid w:val="00187513"/>
    <w:rsid w:val="00190C6C"/>
    <w:rsid w:val="00191486"/>
    <w:rsid w:val="00194DF2"/>
    <w:rsid w:val="001A0DF4"/>
    <w:rsid w:val="001A1FC9"/>
    <w:rsid w:val="001A62BE"/>
    <w:rsid w:val="001A7DD0"/>
    <w:rsid w:val="001B0E4C"/>
    <w:rsid w:val="001C11B8"/>
    <w:rsid w:val="001D17B4"/>
    <w:rsid w:val="001D77AA"/>
    <w:rsid w:val="001F4375"/>
    <w:rsid w:val="001F6C8A"/>
    <w:rsid w:val="00211EFE"/>
    <w:rsid w:val="00220BB4"/>
    <w:rsid w:val="00221E8F"/>
    <w:rsid w:val="00222C55"/>
    <w:rsid w:val="00223AEF"/>
    <w:rsid w:val="002249C6"/>
    <w:rsid w:val="0023647B"/>
    <w:rsid w:val="00240D1C"/>
    <w:rsid w:val="0024132E"/>
    <w:rsid w:val="00244A4F"/>
    <w:rsid w:val="00244F9D"/>
    <w:rsid w:val="0024784F"/>
    <w:rsid w:val="00250E8C"/>
    <w:rsid w:val="002A16F0"/>
    <w:rsid w:val="002B16E6"/>
    <w:rsid w:val="002D2CE0"/>
    <w:rsid w:val="002D4845"/>
    <w:rsid w:val="002D79F0"/>
    <w:rsid w:val="002E55A9"/>
    <w:rsid w:val="00302324"/>
    <w:rsid w:val="00304E85"/>
    <w:rsid w:val="00307907"/>
    <w:rsid w:val="00315626"/>
    <w:rsid w:val="0031603E"/>
    <w:rsid w:val="003214F6"/>
    <w:rsid w:val="00326A6D"/>
    <w:rsid w:val="003315CE"/>
    <w:rsid w:val="00347BED"/>
    <w:rsid w:val="00370B05"/>
    <w:rsid w:val="00375825"/>
    <w:rsid w:val="0038605E"/>
    <w:rsid w:val="00386D31"/>
    <w:rsid w:val="003907AE"/>
    <w:rsid w:val="003935EE"/>
    <w:rsid w:val="003A3476"/>
    <w:rsid w:val="003B3999"/>
    <w:rsid w:val="003B39F4"/>
    <w:rsid w:val="003B7305"/>
    <w:rsid w:val="003D0F99"/>
    <w:rsid w:val="003D5CC4"/>
    <w:rsid w:val="003D65BA"/>
    <w:rsid w:val="003D7DE8"/>
    <w:rsid w:val="003E33FF"/>
    <w:rsid w:val="003E682A"/>
    <w:rsid w:val="003F13CE"/>
    <w:rsid w:val="00412A5E"/>
    <w:rsid w:val="00413464"/>
    <w:rsid w:val="00415A12"/>
    <w:rsid w:val="004165F5"/>
    <w:rsid w:val="00416A49"/>
    <w:rsid w:val="00421FE8"/>
    <w:rsid w:val="00423677"/>
    <w:rsid w:val="004259C6"/>
    <w:rsid w:val="00430AD2"/>
    <w:rsid w:val="004347A0"/>
    <w:rsid w:val="0043515A"/>
    <w:rsid w:val="004454B2"/>
    <w:rsid w:val="0044632D"/>
    <w:rsid w:val="0045068E"/>
    <w:rsid w:val="00465B15"/>
    <w:rsid w:val="00477DC2"/>
    <w:rsid w:val="0048303B"/>
    <w:rsid w:val="00485251"/>
    <w:rsid w:val="004872AB"/>
    <w:rsid w:val="00487C87"/>
    <w:rsid w:val="00491027"/>
    <w:rsid w:val="00493112"/>
    <w:rsid w:val="0049490C"/>
    <w:rsid w:val="004A2ED5"/>
    <w:rsid w:val="004B1481"/>
    <w:rsid w:val="004B6234"/>
    <w:rsid w:val="004B7C88"/>
    <w:rsid w:val="004E1A80"/>
    <w:rsid w:val="004E5E0D"/>
    <w:rsid w:val="005114B7"/>
    <w:rsid w:val="00512C38"/>
    <w:rsid w:val="00517B0F"/>
    <w:rsid w:val="00522D4D"/>
    <w:rsid w:val="005242C9"/>
    <w:rsid w:val="00527A48"/>
    <w:rsid w:val="00531951"/>
    <w:rsid w:val="00542079"/>
    <w:rsid w:val="00545A48"/>
    <w:rsid w:val="005473F1"/>
    <w:rsid w:val="00550A87"/>
    <w:rsid w:val="00552FFE"/>
    <w:rsid w:val="00554929"/>
    <w:rsid w:val="00576DEA"/>
    <w:rsid w:val="0058204E"/>
    <w:rsid w:val="0058543A"/>
    <w:rsid w:val="00586299"/>
    <w:rsid w:val="00586966"/>
    <w:rsid w:val="005942E2"/>
    <w:rsid w:val="0059527E"/>
    <w:rsid w:val="005978F4"/>
    <w:rsid w:val="005A031C"/>
    <w:rsid w:val="005A0409"/>
    <w:rsid w:val="005B7AD0"/>
    <w:rsid w:val="005C0BF2"/>
    <w:rsid w:val="005C4C4A"/>
    <w:rsid w:val="005D50C1"/>
    <w:rsid w:val="005F049E"/>
    <w:rsid w:val="005F1A96"/>
    <w:rsid w:val="005F4D39"/>
    <w:rsid w:val="005F7A45"/>
    <w:rsid w:val="006123B3"/>
    <w:rsid w:val="00613B04"/>
    <w:rsid w:val="00615502"/>
    <w:rsid w:val="00616250"/>
    <w:rsid w:val="00617ECD"/>
    <w:rsid w:val="00620AD4"/>
    <w:rsid w:val="00643A15"/>
    <w:rsid w:val="00646324"/>
    <w:rsid w:val="00647F32"/>
    <w:rsid w:val="0065227F"/>
    <w:rsid w:val="00652A11"/>
    <w:rsid w:val="00661164"/>
    <w:rsid w:val="006619B2"/>
    <w:rsid w:val="00667F9C"/>
    <w:rsid w:val="00673E7F"/>
    <w:rsid w:val="00677359"/>
    <w:rsid w:val="0068306B"/>
    <w:rsid w:val="00683C08"/>
    <w:rsid w:val="0069448D"/>
    <w:rsid w:val="0069719F"/>
    <w:rsid w:val="006B314A"/>
    <w:rsid w:val="006B5CD7"/>
    <w:rsid w:val="006C3CAC"/>
    <w:rsid w:val="006C63DC"/>
    <w:rsid w:val="006D3FF6"/>
    <w:rsid w:val="006E6705"/>
    <w:rsid w:val="006F65E7"/>
    <w:rsid w:val="006F7948"/>
    <w:rsid w:val="00720FC6"/>
    <w:rsid w:val="00723663"/>
    <w:rsid w:val="00724308"/>
    <w:rsid w:val="00727D58"/>
    <w:rsid w:val="00735633"/>
    <w:rsid w:val="00736607"/>
    <w:rsid w:val="0074357F"/>
    <w:rsid w:val="00743B4B"/>
    <w:rsid w:val="00750B38"/>
    <w:rsid w:val="00755370"/>
    <w:rsid w:val="00763CC7"/>
    <w:rsid w:val="0077218F"/>
    <w:rsid w:val="00774AE6"/>
    <w:rsid w:val="00774BB2"/>
    <w:rsid w:val="007829E8"/>
    <w:rsid w:val="007A5C4D"/>
    <w:rsid w:val="007A7C97"/>
    <w:rsid w:val="007B0872"/>
    <w:rsid w:val="007D11F3"/>
    <w:rsid w:val="007D32FF"/>
    <w:rsid w:val="007E36B7"/>
    <w:rsid w:val="007E372C"/>
    <w:rsid w:val="007E7E77"/>
    <w:rsid w:val="007F35D1"/>
    <w:rsid w:val="007F485F"/>
    <w:rsid w:val="008024DD"/>
    <w:rsid w:val="00807C6A"/>
    <w:rsid w:val="00811D45"/>
    <w:rsid w:val="00817688"/>
    <w:rsid w:val="00826D9D"/>
    <w:rsid w:val="00844013"/>
    <w:rsid w:val="00852ED6"/>
    <w:rsid w:val="00860B68"/>
    <w:rsid w:val="00861693"/>
    <w:rsid w:val="008742C9"/>
    <w:rsid w:val="00884830"/>
    <w:rsid w:val="00896267"/>
    <w:rsid w:val="008A4A04"/>
    <w:rsid w:val="008A7756"/>
    <w:rsid w:val="008A7BA5"/>
    <w:rsid w:val="008B358D"/>
    <w:rsid w:val="008C0388"/>
    <w:rsid w:val="008C4292"/>
    <w:rsid w:val="008C6A03"/>
    <w:rsid w:val="008D0B8C"/>
    <w:rsid w:val="008E2F69"/>
    <w:rsid w:val="00902191"/>
    <w:rsid w:val="00904820"/>
    <w:rsid w:val="00911F33"/>
    <w:rsid w:val="00913D82"/>
    <w:rsid w:val="00914952"/>
    <w:rsid w:val="00943C64"/>
    <w:rsid w:val="00944F37"/>
    <w:rsid w:val="00947BA5"/>
    <w:rsid w:val="00986E87"/>
    <w:rsid w:val="00990D77"/>
    <w:rsid w:val="00994653"/>
    <w:rsid w:val="009B6CE9"/>
    <w:rsid w:val="009C1D8B"/>
    <w:rsid w:val="009C2D06"/>
    <w:rsid w:val="009C63BA"/>
    <w:rsid w:val="009E493D"/>
    <w:rsid w:val="009E7B6D"/>
    <w:rsid w:val="00A1163C"/>
    <w:rsid w:val="00A2135B"/>
    <w:rsid w:val="00A37942"/>
    <w:rsid w:val="00A458F1"/>
    <w:rsid w:val="00A66F51"/>
    <w:rsid w:val="00A720FC"/>
    <w:rsid w:val="00A85435"/>
    <w:rsid w:val="00A97470"/>
    <w:rsid w:val="00AA27FE"/>
    <w:rsid w:val="00AA3A4E"/>
    <w:rsid w:val="00AB772D"/>
    <w:rsid w:val="00AC563E"/>
    <w:rsid w:val="00AD15AB"/>
    <w:rsid w:val="00AD2866"/>
    <w:rsid w:val="00AD451C"/>
    <w:rsid w:val="00AE12B3"/>
    <w:rsid w:val="00AE21F7"/>
    <w:rsid w:val="00AE3231"/>
    <w:rsid w:val="00AE446B"/>
    <w:rsid w:val="00AE697B"/>
    <w:rsid w:val="00B00483"/>
    <w:rsid w:val="00B126DB"/>
    <w:rsid w:val="00B17F58"/>
    <w:rsid w:val="00B2071D"/>
    <w:rsid w:val="00B209A5"/>
    <w:rsid w:val="00B22A7D"/>
    <w:rsid w:val="00B23930"/>
    <w:rsid w:val="00B34524"/>
    <w:rsid w:val="00B36A59"/>
    <w:rsid w:val="00B53F92"/>
    <w:rsid w:val="00B56608"/>
    <w:rsid w:val="00B673BA"/>
    <w:rsid w:val="00B73FA1"/>
    <w:rsid w:val="00B90A3F"/>
    <w:rsid w:val="00B90B0C"/>
    <w:rsid w:val="00B96BE0"/>
    <w:rsid w:val="00BA1283"/>
    <w:rsid w:val="00BA16BC"/>
    <w:rsid w:val="00BB20BC"/>
    <w:rsid w:val="00BB378B"/>
    <w:rsid w:val="00BB6D6D"/>
    <w:rsid w:val="00BC2882"/>
    <w:rsid w:val="00BC5A84"/>
    <w:rsid w:val="00BE2306"/>
    <w:rsid w:val="00BE31A9"/>
    <w:rsid w:val="00C03193"/>
    <w:rsid w:val="00C23754"/>
    <w:rsid w:val="00C306F1"/>
    <w:rsid w:val="00C33CC3"/>
    <w:rsid w:val="00C433FB"/>
    <w:rsid w:val="00C520F8"/>
    <w:rsid w:val="00C549B2"/>
    <w:rsid w:val="00C611BC"/>
    <w:rsid w:val="00C64530"/>
    <w:rsid w:val="00C67A8C"/>
    <w:rsid w:val="00C8376C"/>
    <w:rsid w:val="00C93AB0"/>
    <w:rsid w:val="00C964A1"/>
    <w:rsid w:val="00C9671B"/>
    <w:rsid w:val="00CB5AFD"/>
    <w:rsid w:val="00CC33DB"/>
    <w:rsid w:val="00CD063E"/>
    <w:rsid w:val="00CD1017"/>
    <w:rsid w:val="00CD27E8"/>
    <w:rsid w:val="00CE1D02"/>
    <w:rsid w:val="00CF3F1C"/>
    <w:rsid w:val="00D00587"/>
    <w:rsid w:val="00D014A7"/>
    <w:rsid w:val="00D033F0"/>
    <w:rsid w:val="00D04E67"/>
    <w:rsid w:val="00D158B5"/>
    <w:rsid w:val="00D2486F"/>
    <w:rsid w:val="00D25267"/>
    <w:rsid w:val="00D26A94"/>
    <w:rsid w:val="00D27AA3"/>
    <w:rsid w:val="00D302D1"/>
    <w:rsid w:val="00D35BF9"/>
    <w:rsid w:val="00D44333"/>
    <w:rsid w:val="00D52162"/>
    <w:rsid w:val="00D60168"/>
    <w:rsid w:val="00D6185E"/>
    <w:rsid w:val="00D672F5"/>
    <w:rsid w:val="00D70BA8"/>
    <w:rsid w:val="00D72C93"/>
    <w:rsid w:val="00D81894"/>
    <w:rsid w:val="00D872D8"/>
    <w:rsid w:val="00D9100B"/>
    <w:rsid w:val="00D935D7"/>
    <w:rsid w:val="00D97912"/>
    <w:rsid w:val="00DC165D"/>
    <w:rsid w:val="00DC4B03"/>
    <w:rsid w:val="00DC684F"/>
    <w:rsid w:val="00DD2685"/>
    <w:rsid w:val="00DE12EF"/>
    <w:rsid w:val="00DE4B3F"/>
    <w:rsid w:val="00DE6D15"/>
    <w:rsid w:val="00DE754B"/>
    <w:rsid w:val="00DE7BA4"/>
    <w:rsid w:val="00DF4036"/>
    <w:rsid w:val="00DF4BF2"/>
    <w:rsid w:val="00DF4C79"/>
    <w:rsid w:val="00DF7C02"/>
    <w:rsid w:val="00E0197B"/>
    <w:rsid w:val="00E032E8"/>
    <w:rsid w:val="00E079DE"/>
    <w:rsid w:val="00E11A1E"/>
    <w:rsid w:val="00E14B43"/>
    <w:rsid w:val="00E15526"/>
    <w:rsid w:val="00E2203F"/>
    <w:rsid w:val="00E22245"/>
    <w:rsid w:val="00E25CD8"/>
    <w:rsid w:val="00E266A4"/>
    <w:rsid w:val="00E31D79"/>
    <w:rsid w:val="00E405D8"/>
    <w:rsid w:val="00E53A2A"/>
    <w:rsid w:val="00E5798A"/>
    <w:rsid w:val="00E65B9C"/>
    <w:rsid w:val="00E83572"/>
    <w:rsid w:val="00E867C7"/>
    <w:rsid w:val="00E870D7"/>
    <w:rsid w:val="00E90189"/>
    <w:rsid w:val="00E9527C"/>
    <w:rsid w:val="00EB1BFF"/>
    <w:rsid w:val="00EC2161"/>
    <w:rsid w:val="00ED7CC0"/>
    <w:rsid w:val="00EE0E71"/>
    <w:rsid w:val="00EE731C"/>
    <w:rsid w:val="00F137B6"/>
    <w:rsid w:val="00F169F3"/>
    <w:rsid w:val="00F20C91"/>
    <w:rsid w:val="00F308C8"/>
    <w:rsid w:val="00F30E61"/>
    <w:rsid w:val="00F35BE9"/>
    <w:rsid w:val="00F52506"/>
    <w:rsid w:val="00F5624D"/>
    <w:rsid w:val="00F5641B"/>
    <w:rsid w:val="00F7570A"/>
    <w:rsid w:val="00F8649C"/>
    <w:rsid w:val="00F90FBC"/>
    <w:rsid w:val="00F92F81"/>
    <w:rsid w:val="00F97A7A"/>
    <w:rsid w:val="00FD2B61"/>
    <w:rsid w:val="00FD7132"/>
    <w:rsid w:val="00FF242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35F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807C6A"/>
    <w:pPr>
      <w:keepNext/>
      <w:keepLines/>
      <w:spacing w:before="240"/>
      <w:outlineLvl w:val="0"/>
    </w:pPr>
    <w:rPr>
      <w:rFonts w:asciiTheme="majorHAnsi" w:eastAsiaTheme="majorEastAsia" w:hAnsiTheme="majorHAnsi" w:cstheme="majorBidi"/>
      <w:color w:val="638C1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663"/>
    <w:pPr>
      <w:tabs>
        <w:tab w:val="center" w:pos="4513"/>
        <w:tab w:val="right" w:pos="9026"/>
      </w:tabs>
    </w:pPr>
  </w:style>
  <w:style w:type="character" w:customStyle="1" w:styleId="FooterChar">
    <w:name w:val="Footer Char"/>
    <w:basedOn w:val="DefaultParagraphFont"/>
    <w:link w:val="Footer"/>
    <w:uiPriority w:val="99"/>
    <w:rsid w:val="00723663"/>
    <w:rPr>
      <w:sz w:val="24"/>
      <w:szCs w:val="24"/>
      <w:lang w:eastAsia="en-GB"/>
    </w:rPr>
  </w:style>
  <w:style w:type="paragraph" w:styleId="CommentText">
    <w:name w:val="annotation text"/>
    <w:basedOn w:val="Normal"/>
    <w:link w:val="CommentTextChar"/>
    <w:rsid w:val="00723663"/>
    <w:rPr>
      <w:sz w:val="20"/>
      <w:szCs w:val="20"/>
    </w:rPr>
  </w:style>
  <w:style w:type="character" w:customStyle="1" w:styleId="CommentTextChar">
    <w:name w:val="Comment Text Char"/>
    <w:basedOn w:val="DefaultParagraphFont"/>
    <w:link w:val="CommentText"/>
    <w:rsid w:val="00723663"/>
    <w:rPr>
      <w:lang w:eastAsia="en-GB"/>
    </w:rPr>
  </w:style>
  <w:style w:type="character" w:styleId="CommentReference">
    <w:name w:val="annotation reference"/>
    <w:rsid w:val="00723663"/>
    <w:rPr>
      <w:sz w:val="16"/>
      <w:szCs w:val="16"/>
    </w:rPr>
  </w:style>
  <w:style w:type="paragraph" w:styleId="BalloonText">
    <w:name w:val="Balloon Text"/>
    <w:basedOn w:val="Normal"/>
    <w:link w:val="BalloonTextChar"/>
    <w:rsid w:val="00723663"/>
    <w:rPr>
      <w:rFonts w:ascii="Tahoma" w:hAnsi="Tahoma" w:cs="Tahoma"/>
      <w:sz w:val="16"/>
      <w:szCs w:val="16"/>
    </w:rPr>
  </w:style>
  <w:style w:type="character" w:customStyle="1" w:styleId="BalloonTextChar">
    <w:name w:val="Balloon Text Char"/>
    <w:basedOn w:val="DefaultParagraphFont"/>
    <w:link w:val="BalloonText"/>
    <w:rsid w:val="00723663"/>
    <w:rPr>
      <w:rFonts w:ascii="Tahoma" w:hAnsi="Tahoma" w:cs="Tahoma"/>
      <w:sz w:val="16"/>
      <w:szCs w:val="16"/>
      <w:lang w:eastAsia="en-GB"/>
    </w:rPr>
  </w:style>
  <w:style w:type="paragraph" w:styleId="Header">
    <w:name w:val="header"/>
    <w:basedOn w:val="Normal"/>
    <w:link w:val="HeaderChar"/>
    <w:rsid w:val="00723663"/>
    <w:pPr>
      <w:tabs>
        <w:tab w:val="center" w:pos="4513"/>
        <w:tab w:val="right" w:pos="9026"/>
      </w:tabs>
    </w:pPr>
  </w:style>
  <w:style w:type="character" w:customStyle="1" w:styleId="HeaderChar">
    <w:name w:val="Header Char"/>
    <w:basedOn w:val="DefaultParagraphFont"/>
    <w:link w:val="Header"/>
    <w:rsid w:val="00723663"/>
    <w:rPr>
      <w:sz w:val="24"/>
      <w:szCs w:val="24"/>
      <w:lang w:eastAsia="en-GB"/>
    </w:rPr>
  </w:style>
  <w:style w:type="paragraph" w:styleId="ListBullet">
    <w:name w:val="List Bullet"/>
    <w:basedOn w:val="Normal"/>
    <w:rsid w:val="00DF4BF2"/>
    <w:pPr>
      <w:numPr>
        <w:numId w:val="7"/>
      </w:numPr>
      <w:contextualSpacing/>
    </w:pPr>
  </w:style>
  <w:style w:type="paragraph" w:styleId="ListParagraph">
    <w:name w:val="List Paragraph"/>
    <w:basedOn w:val="Normal"/>
    <w:uiPriority w:val="34"/>
    <w:qFormat/>
    <w:rsid w:val="00943C64"/>
    <w:pPr>
      <w:ind w:left="720"/>
      <w:contextualSpacing/>
    </w:pPr>
  </w:style>
  <w:style w:type="table" w:styleId="TableGrid">
    <w:name w:val="Table Grid"/>
    <w:basedOn w:val="TableNormal"/>
    <w:rsid w:val="007D1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16E6"/>
    <w:rPr>
      <w:rFonts w:ascii="Calibri" w:eastAsia="SimSun" w:hAnsi="Calibri"/>
      <w:sz w:val="22"/>
      <w:szCs w:val="22"/>
      <w:lang w:eastAsia="zh-CN"/>
    </w:rPr>
  </w:style>
  <w:style w:type="paragraph" w:styleId="CommentSubject">
    <w:name w:val="annotation subject"/>
    <w:basedOn w:val="CommentText"/>
    <w:next w:val="CommentText"/>
    <w:link w:val="CommentSubjectChar"/>
    <w:semiHidden/>
    <w:unhideWhenUsed/>
    <w:rsid w:val="00517B0F"/>
    <w:rPr>
      <w:b/>
      <w:bCs/>
    </w:rPr>
  </w:style>
  <w:style w:type="character" w:customStyle="1" w:styleId="CommentSubjectChar">
    <w:name w:val="Comment Subject Char"/>
    <w:basedOn w:val="CommentTextChar"/>
    <w:link w:val="CommentSubject"/>
    <w:semiHidden/>
    <w:rsid w:val="00517B0F"/>
    <w:rPr>
      <w:b/>
      <w:bCs/>
      <w:lang w:eastAsia="en-GB"/>
    </w:rPr>
  </w:style>
  <w:style w:type="paragraph" w:styleId="Revision">
    <w:name w:val="Revision"/>
    <w:hidden/>
    <w:uiPriority w:val="99"/>
    <w:semiHidden/>
    <w:rsid w:val="00517B0F"/>
    <w:rPr>
      <w:sz w:val="24"/>
      <w:szCs w:val="24"/>
      <w:lang w:eastAsia="en-GB"/>
    </w:rPr>
  </w:style>
  <w:style w:type="paragraph" w:styleId="BodyText2">
    <w:name w:val="Body Text 2"/>
    <w:aliases w:val="bt2"/>
    <w:basedOn w:val="Normal"/>
    <w:link w:val="BodyText2Char"/>
    <w:rsid w:val="00BC5A84"/>
    <w:pPr>
      <w:widowControl w:val="0"/>
      <w:autoSpaceDE w:val="0"/>
      <w:autoSpaceDN w:val="0"/>
      <w:adjustRightInd w:val="0"/>
      <w:spacing w:after="120" w:line="480" w:lineRule="auto"/>
    </w:pPr>
    <w:rPr>
      <w:rFonts w:eastAsia="Times New Roman"/>
      <w:sz w:val="23"/>
      <w:szCs w:val="23"/>
    </w:rPr>
  </w:style>
  <w:style w:type="character" w:customStyle="1" w:styleId="BodyText2Char">
    <w:name w:val="Body Text 2 Char"/>
    <w:aliases w:val="bt2 Char"/>
    <w:basedOn w:val="DefaultParagraphFont"/>
    <w:link w:val="BodyText2"/>
    <w:rsid w:val="00BC5A84"/>
    <w:rPr>
      <w:rFonts w:eastAsia="Times New Roman"/>
      <w:sz w:val="23"/>
      <w:szCs w:val="23"/>
      <w:lang w:eastAsia="en-GB"/>
    </w:rPr>
  </w:style>
  <w:style w:type="character" w:customStyle="1" w:styleId="DeltaViewInsertion">
    <w:name w:val="DeltaView Insertion"/>
    <w:rsid w:val="00904820"/>
    <w:rPr>
      <w:color w:val="008080"/>
      <w:u w:val="double"/>
    </w:rPr>
  </w:style>
  <w:style w:type="character" w:customStyle="1" w:styleId="Heading1Char">
    <w:name w:val="Heading 1 Char"/>
    <w:basedOn w:val="DefaultParagraphFont"/>
    <w:link w:val="Heading1"/>
    <w:rsid w:val="00807C6A"/>
    <w:rPr>
      <w:rFonts w:asciiTheme="majorHAnsi" w:eastAsiaTheme="majorEastAsia" w:hAnsiTheme="majorHAnsi" w:cstheme="majorBidi"/>
      <w:color w:val="638C1B" w:themeColor="accent1" w:themeShade="BF"/>
      <w:sz w:val="32"/>
      <w:szCs w:val="32"/>
      <w:lang w:eastAsia="en-GB"/>
    </w:rPr>
  </w:style>
  <w:style w:type="paragraph" w:styleId="TOCHeading">
    <w:name w:val="TOC Heading"/>
    <w:basedOn w:val="Heading1"/>
    <w:next w:val="Normal"/>
    <w:uiPriority w:val="39"/>
    <w:unhideWhenUsed/>
    <w:qFormat/>
    <w:rsid w:val="00807C6A"/>
    <w:pPr>
      <w:spacing w:line="259" w:lineRule="auto"/>
      <w:outlineLvl w:val="9"/>
    </w:pPr>
    <w:rPr>
      <w:lang w:val="en-US" w:eastAsia="en-US"/>
    </w:rPr>
  </w:style>
  <w:style w:type="paragraph" w:styleId="TOC1">
    <w:name w:val="toc 1"/>
    <w:basedOn w:val="Normal"/>
    <w:next w:val="Normal"/>
    <w:autoRedefine/>
    <w:uiPriority w:val="39"/>
    <w:unhideWhenUsed/>
    <w:rsid w:val="008C4292"/>
    <w:pPr>
      <w:tabs>
        <w:tab w:val="left" w:pos="660"/>
        <w:tab w:val="right" w:leader="dot" w:pos="9075"/>
      </w:tabs>
      <w:spacing w:after="100"/>
    </w:pPr>
    <w:rPr>
      <w:rFonts w:asciiTheme="majorHAnsi" w:hAnsiTheme="majorHAnsi"/>
      <w:noProof/>
      <w:lang w:val="en-US"/>
    </w:rPr>
  </w:style>
  <w:style w:type="character" w:styleId="Hyperlink">
    <w:name w:val="Hyperlink"/>
    <w:basedOn w:val="DefaultParagraphFont"/>
    <w:uiPriority w:val="99"/>
    <w:unhideWhenUsed/>
    <w:rsid w:val="00807C6A"/>
    <w:rPr>
      <w:color w:val="00A3E0" w:themeColor="hyperlink"/>
      <w:u w:val="single"/>
    </w:rPr>
  </w:style>
  <w:style w:type="paragraph" w:customStyle="1" w:styleId="Frontpageheader1">
    <w:name w:val="Front page header 1"/>
    <w:basedOn w:val="Heading1"/>
    <w:link w:val="Frontpageheader1Char"/>
    <w:qFormat/>
    <w:rsid w:val="00807C6A"/>
    <w:pPr>
      <w:keepLines w:val="0"/>
      <w:spacing w:after="240"/>
    </w:pPr>
    <w:rPr>
      <w:rFonts w:ascii="Segoe UI Semibold" w:hAnsi="Segoe UI Semibold"/>
      <w:bCs/>
      <w:color w:val="0069B4"/>
      <w:kern w:val="32"/>
      <w:sz w:val="56"/>
      <w:szCs w:val="56"/>
      <w:lang w:val="en-US" w:eastAsia="en-US" w:bidi="en-US"/>
    </w:rPr>
  </w:style>
  <w:style w:type="character" w:customStyle="1" w:styleId="Frontpageheader1Char">
    <w:name w:val="Front page header 1 Char"/>
    <w:basedOn w:val="Heading1Char"/>
    <w:link w:val="Frontpageheader1"/>
    <w:rsid w:val="00807C6A"/>
    <w:rPr>
      <w:rFonts w:ascii="Segoe UI Semibold" w:eastAsiaTheme="majorEastAsia" w:hAnsi="Segoe UI Semibold" w:cstheme="majorBidi"/>
      <w:bCs/>
      <w:color w:val="0069B4"/>
      <w:kern w:val="32"/>
      <w:sz w:val="56"/>
      <w:szCs w:val="56"/>
      <w:lang w:val="en-US" w:eastAsia="en-US" w:bidi="en-US"/>
    </w:rPr>
  </w:style>
  <w:style w:type="paragraph" w:styleId="TOC2">
    <w:name w:val="toc 2"/>
    <w:basedOn w:val="Normal"/>
    <w:next w:val="Normal"/>
    <w:autoRedefine/>
    <w:uiPriority w:val="39"/>
    <w:unhideWhenUsed/>
    <w:rsid w:val="00807C6A"/>
    <w:pPr>
      <w:spacing w:after="100" w:line="259" w:lineRule="auto"/>
      <w:ind w:left="220"/>
    </w:pPr>
    <w:rPr>
      <w:rFonts w:asciiTheme="minorHAnsi" w:hAnsiTheme="minorHAnsi"/>
      <w:sz w:val="22"/>
      <w:szCs w:val="22"/>
      <w:lang w:val="en-US" w:eastAsia="en-US"/>
    </w:rPr>
  </w:style>
  <w:style w:type="paragraph" w:styleId="TOC3">
    <w:name w:val="toc 3"/>
    <w:basedOn w:val="Normal"/>
    <w:next w:val="Normal"/>
    <w:autoRedefine/>
    <w:uiPriority w:val="39"/>
    <w:unhideWhenUsed/>
    <w:rsid w:val="00807C6A"/>
    <w:pPr>
      <w:spacing w:after="100" w:line="259" w:lineRule="auto"/>
      <w:ind w:left="440"/>
    </w:pPr>
    <w:rPr>
      <w:rFonts w:asciiTheme="minorHAnsi" w:hAnsiTheme="minorHAnsi"/>
      <w:sz w:val="22"/>
      <w:szCs w:val="22"/>
      <w:lang w:val="en-US" w:eastAsia="en-US"/>
    </w:rPr>
  </w:style>
  <w:style w:type="paragraph" w:customStyle="1" w:styleId="Normalplus">
    <w:name w:val="Normal plus"/>
    <w:basedOn w:val="Normal"/>
    <w:rsid w:val="008024DD"/>
    <w:pPr>
      <w:widowControl w:val="0"/>
      <w:autoSpaceDE w:val="0"/>
      <w:autoSpaceDN w:val="0"/>
      <w:adjustRightInd w:val="0"/>
      <w:spacing w:after="120"/>
    </w:pPr>
    <w:rPr>
      <w:rFonts w:ascii="Arial" w:eastAsia="Times New Roman" w:hAnsi="Arial" w:cs="Arial"/>
      <w:sz w:val="23"/>
      <w:szCs w:val="23"/>
    </w:rPr>
  </w:style>
  <w:style w:type="paragraph" w:styleId="ListNumber">
    <w:name w:val="List Number"/>
    <w:basedOn w:val="Normal"/>
    <w:rsid w:val="00E14B43"/>
    <w:pPr>
      <w:numPr>
        <w:numId w:val="22"/>
      </w:numPr>
      <w:contextualSpacing/>
    </w:pPr>
  </w:style>
  <w:style w:type="paragraph" w:customStyle="1" w:styleId="Style2">
    <w:name w:val="Style2"/>
    <w:basedOn w:val="Heading1"/>
    <w:link w:val="Style2Char"/>
    <w:qFormat/>
    <w:rsid w:val="00E22245"/>
    <w:pPr>
      <w:widowControl w:val="0"/>
      <w:numPr>
        <w:numId w:val="43"/>
      </w:numPr>
      <w:autoSpaceDE w:val="0"/>
      <w:autoSpaceDN w:val="0"/>
      <w:adjustRightInd w:val="0"/>
      <w:spacing w:after="240"/>
    </w:pPr>
    <w:rPr>
      <w:rFonts w:asciiTheme="minorHAnsi" w:hAnsiTheme="minorHAnsi"/>
      <w:b/>
      <w:bCs/>
      <w:color w:val="auto"/>
      <w:spacing w:val="-3"/>
      <w:sz w:val="22"/>
      <w:szCs w:val="22"/>
    </w:rPr>
  </w:style>
  <w:style w:type="character" w:customStyle="1" w:styleId="Style2Char">
    <w:name w:val="Style2 Char"/>
    <w:basedOn w:val="DefaultParagraphFont"/>
    <w:link w:val="Style2"/>
    <w:rsid w:val="00E22245"/>
    <w:rPr>
      <w:rFonts w:asciiTheme="minorHAnsi" w:eastAsiaTheme="majorEastAsia" w:hAnsiTheme="minorHAnsi" w:cstheme="majorBidi"/>
      <w:b/>
      <w:bCs/>
      <w:spacing w:val="-3"/>
      <w:sz w:val="22"/>
      <w:szCs w:val="22"/>
      <w:lang w:eastAsia="en-GB"/>
    </w:rPr>
  </w:style>
  <w:style w:type="paragraph" w:styleId="NormalWeb">
    <w:name w:val="Normal (Web)"/>
    <w:basedOn w:val="Normal"/>
    <w:uiPriority w:val="99"/>
    <w:semiHidden/>
    <w:unhideWhenUsed/>
    <w:rsid w:val="006619B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968">
      <w:bodyDiv w:val="1"/>
      <w:marLeft w:val="0"/>
      <w:marRight w:val="0"/>
      <w:marTop w:val="0"/>
      <w:marBottom w:val="0"/>
      <w:divBdr>
        <w:top w:val="none" w:sz="0" w:space="0" w:color="auto"/>
        <w:left w:val="none" w:sz="0" w:space="0" w:color="auto"/>
        <w:bottom w:val="none" w:sz="0" w:space="0" w:color="auto"/>
        <w:right w:val="none" w:sz="0" w:space="0" w:color="auto"/>
      </w:divBdr>
    </w:div>
    <w:div w:id="204149276">
      <w:bodyDiv w:val="1"/>
      <w:marLeft w:val="0"/>
      <w:marRight w:val="0"/>
      <w:marTop w:val="0"/>
      <w:marBottom w:val="0"/>
      <w:divBdr>
        <w:top w:val="none" w:sz="0" w:space="0" w:color="auto"/>
        <w:left w:val="none" w:sz="0" w:space="0" w:color="auto"/>
        <w:bottom w:val="none" w:sz="0" w:space="0" w:color="auto"/>
        <w:right w:val="none" w:sz="0" w:space="0" w:color="auto"/>
      </w:divBdr>
    </w:div>
    <w:div w:id="546768418">
      <w:bodyDiv w:val="1"/>
      <w:marLeft w:val="0"/>
      <w:marRight w:val="0"/>
      <w:marTop w:val="0"/>
      <w:marBottom w:val="0"/>
      <w:divBdr>
        <w:top w:val="none" w:sz="0" w:space="0" w:color="auto"/>
        <w:left w:val="none" w:sz="0" w:space="0" w:color="auto"/>
        <w:bottom w:val="none" w:sz="0" w:space="0" w:color="auto"/>
        <w:right w:val="none" w:sz="0" w:space="0" w:color="auto"/>
      </w:divBdr>
      <w:divsChild>
        <w:div w:id="957418014">
          <w:marLeft w:val="0"/>
          <w:marRight w:val="0"/>
          <w:marTop w:val="0"/>
          <w:marBottom w:val="267"/>
          <w:divBdr>
            <w:top w:val="none" w:sz="0" w:space="0" w:color="auto"/>
            <w:left w:val="none" w:sz="0" w:space="0" w:color="auto"/>
            <w:bottom w:val="none" w:sz="0" w:space="0" w:color="auto"/>
            <w:right w:val="none" w:sz="0" w:space="0" w:color="auto"/>
          </w:divBdr>
        </w:div>
      </w:divsChild>
    </w:div>
    <w:div w:id="560822664">
      <w:bodyDiv w:val="1"/>
      <w:marLeft w:val="0"/>
      <w:marRight w:val="0"/>
      <w:marTop w:val="0"/>
      <w:marBottom w:val="0"/>
      <w:divBdr>
        <w:top w:val="none" w:sz="0" w:space="0" w:color="auto"/>
        <w:left w:val="none" w:sz="0" w:space="0" w:color="auto"/>
        <w:bottom w:val="none" w:sz="0" w:space="0" w:color="auto"/>
        <w:right w:val="none" w:sz="0" w:space="0" w:color="auto"/>
      </w:divBdr>
    </w:div>
    <w:div w:id="868419552">
      <w:bodyDiv w:val="1"/>
      <w:marLeft w:val="0"/>
      <w:marRight w:val="0"/>
      <w:marTop w:val="0"/>
      <w:marBottom w:val="0"/>
      <w:divBdr>
        <w:top w:val="none" w:sz="0" w:space="0" w:color="auto"/>
        <w:left w:val="none" w:sz="0" w:space="0" w:color="auto"/>
        <w:bottom w:val="none" w:sz="0" w:space="0" w:color="auto"/>
        <w:right w:val="none" w:sz="0" w:space="0" w:color="auto"/>
      </w:divBdr>
    </w:div>
    <w:div w:id="1540170350">
      <w:bodyDiv w:val="1"/>
      <w:marLeft w:val="0"/>
      <w:marRight w:val="0"/>
      <w:marTop w:val="0"/>
      <w:marBottom w:val="0"/>
      <w:divBdr>
        <w:top w:val="none" w:sz="0" w:space="0" w:color="auto"/>
        <w:left w:val="none" w:sz="0" w:space="0" w:color="auto"/>
        <w:bottom w:val="none" w:sz="0" w:space="0" w:color="auto"/>
        <w:right w:val="none" w:sz="0" w:space="0" w:color="auto"/>
      </w:divBdr>
    </w:div>
    <w:div w:id="16455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eloitt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solidFill>
            <a:schemeClr val="accent3"/>
          </a:solidFill>
          <a:miter lim="800000"/>
          <a:headEnd/>
          <a:tailEnd/>
        </a:ln>
      </a:spPr>
      <a:bodyPr wrap="square" lIns="88900" tIns="88900" rIns="88900" bIns="88900" rtlCol="0" anchor="ctr"/>
      <a:lstStyle>
        <a:defPPr algn="ctr">
          <a:lnSpc>
            <a:spcPct val="106000"/>
          </a:lnSpc>
          <a:buFont typeface="Wingdings 2" pitchFamily="18" charset="2"/>
          <a:buNone/>
          <a:defRPr sz="1600" b="1" noProof="0" dirty="0" err="1" smtClean="0">
            <a:solidFill>
              <a:schemeClr val="bg1"/>
            </a:solidFill>
          </a:defRPr>
        </a:defPPr>
      </a:lstStyle>
    </a:spDef>
    <a:lnDef>
      <a:spPr>
        <a:ln>
          <a:solidFill>
            <a:srgbClr val="44546A"/>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34000" indent="-234000">
          <a:spcBef>
            <a:spcPts val="0"/>
          </a:spcBef>
          <a:spcAft>
            <a:spcPts val="1333"/>
          </a:spcAft>
          <a:buSzPct val="100000"/>
          <a:buFont typeface="Arial"/>
          <a:buChar char="•"/>
          <a:defRPr sz="1200" noProof="0" dirty="0" err="1" smtClean="0">
            <a:solidFill>
              <a:schemeClr val="tx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id="{020FA619-153C-4BC1-AB41-D999AE5EF9C3}" vid="{04C754E3-B662-48D8-B304-73D035B0168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9DB2-F97E-4602-9011-9CF09BD3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4029</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Classified as CR and Customer\Intermediary on 11/12/2018 by slc472</dc:description>
  <cp:lastModifiedBy/>
  <cp:revision>1</cp:revision>
  <dcterms:created xsi:type="dcterms:W3CDTF">2022-02-14T08:49:00Z</dcterms:created>
  <dcterms:modified xsi:type="dcterms:W3CDTF">2022-03-17T13:43:00Z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ea60d57e-af5b-4752-ac57-3e4f28ca11dc_Enabled">
    <vt:lpwstr>true</vt:lpwstr>
  </property>
  <property fmtid="{D5CDD505-2E9C-101B-9397-08002B2CF9AE}" pid="4" name="MSIP_Label_ea60d57e-af5b-4752-ac57-3e4f28ca11dc_SetDate">
    <vt:lpwstr>2022-01-06T16:20:57Z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ba0c8591-aec4-4a27-bfac-c00c5102ebf1</vt:lpwstr>
  </property>
  <property fmtid="{D5CDD505-2E9C-101B-9397-08002B2CF9AE}" pid="9" name="MSIP_Label_ea60d57e-af5b-4752-ac57-3e4f28ca11dc_ContentBits">
    <vt:lpwstr>0</vt:lpwstr>
  </property>
</Properties>
</file>